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97"/>
        <w:jc w:val="center"/>
        <w:rPr>
          <w:rFonts w:hint="eastAsia" w:ascii="宋体" w:hAnsi="宋体" w:eastAsia="宋体" w:cs="Arial"/>
          <w:b/>
          <w:color w:val="auto"/>
          <w:sz w:val="44"/>
          <w:szCs w:val="44"/>
          <w:highlight w:val="none"/>
          <w:lang w:eastAsia="zh-CN"/>
        </w:rPr>
      </w:pPr>
      <w:r>
        <w:rPr>
          <w:rFonts w:hint="eastAsia" w:ascii="宋体" w:hAnsi="宋体" w:cs="Arial"/>
          <w:b/>
          <w:color w:val="auto"/>
          <w:sz w:val="44"/>
          <w:szCs w:val="44"/>
          <w:highlight w:val="none"/>
          <w:lang w:eastAsia="zh-CN"/>
        </w:rPr>
        <w:t>绍兴轨道交通一号线柯桥段招商宣传及活动策划执行服务项目</w:t>
      </w:r>
    </w:p>
    <w:p>
      <w:pPr>
        <w:spacing w:before="697"/>
        <w:jc w:val="center"/>
        <w:rPr>
          <w:rFonts w:hint="eastAsia" w:ascii="宋体" w:hAnsi="宋体" w:cs="Arial"/>
          <w:b/>
          <w:color w:val="auto"/>
          <w:sz w:val="36"/>
          <w:szCs w:val="36"/>
          <w:highlight w:val="none"/>
        </w:rPr>
      </w:pPr>
    </w:p>
    <w:p>
      <w:pPr>
        <w:spacing w:after="232"/>
        <w:jc w:val="center"/>
        <w:rPr>
          <w:rFonts w:ascii="宋体" w:hAnsi="宋体"/>
          <w:b/>
          <w:color w:val="auto"/>
          <w:sz w:val="44"/>
          <w:szCs w:val="44"/>
          <w:highlight w:val="none"/>
        </w:rPr>
      </w:pPr>
      <w:r>
        <w:rPr>
          <w:rFonts w:hint="eastAsia" w:ascii="宋体" w:hAnsi="宋体"/>
          <w:b/>
          <w:color w:val="auto"/>
          <w:sz w:val="44"/>
          <w:szCs w:val="44"/>
          <w:highlight w:val="none"/>
        </w:rPr>
        <w:t>招</w:t>
      </w:r>
    </w:p>
    <w:p>
      <w:pPr>
        <w:spacing w:after="232"/>
        <w:jc w:val="center"/>
        <w:rPr>
          <w:rFonts w:ascii="宋体" w:hAnsi="宋体"/>
          <w:b/>
          <w:color w:val="auto"/>
          <w:sz w:val="44"/>
          <w:szCs w:val="44"/>
          <w:highlight w:val="none"/>
        </w:rPr>
      </w:pPr>
    </w:p>
    <w:p>
      <w:pPr>
        <w:spacing w:after="232"/>
        <w:jc w:val="center"/>
        <w:rPr>
          <w:rFonts w:ascii="宋体" w:hAnsi="宋体"/>
          <w:b/>
          <w:color w:val="auto"/>
          <w:sz w:val="44"/>
          <w:szCs w:val="44"/>
          <w:highlight w:val="none"/>
        </w:rPr>
      </w:pPr>
      <w:r>
        <w:rPr>
          <w:rFonts w:hint="eastAsia" w:ascii="宋体" w:hAnsi="宋体"/>
          <w:b/>
          <w:color w:val="auto"/>
          <w:sz w:val="44"/>
          <w:szCs w:val="44"/>
          <w:highlight w:val="none"/>
        </w:rPr>
        <w:t>标</w:t>
      </w:r>
    </w:p>
    <w:p>
      <w:pPr>
        <w:tabs>
          <w:tab w:val="center" w:pos="4156"/>
          <w:tab w:val="left" w:pos="7080"/>
        </w:tabs>
        <w:spacing w:after="232"/>
        <w:jc w:val="center"/>
        <w:rPr>
          <w:rFonts w:ascii="宋体" w:hAnsi="宋体"/>
          <w:b/>
          <w:color w:val="auto"/>
          <w:sz w:val="44"/>
          <w:szCs w:val="44"/>
          <w:highlight w:val="none"/>
        </w:rPr>
      </w:pPr>
    </w:p>
    <w:p>
      <w:pPr>
        <w:tabs>
          <w:tab w:val="center" w:pos="4156"/>
          <w:tab w:val="left" w:pos="7080"/>
        </w:tabs>
        <w:spacing w:after="232"/>
        <w:jc w:val="center"/>
        <w:rPr>
          <w:rFonts w:ascii="宋体" w:hAnsi="宋体"/>
          <w:b/>
          <w:color w:val="auto"/>
          <w:sz w:val="44"/>
          <w:szCs w:val="44"/>
          <w:highlight w:val="none"/>
        </w:rPr>
      </w:pPr>
      <w:r>
        <w:rPr>
          <w:rFonts w:hint="eastAsia" w:ascii="宋体" w:hAnsi="宋体"/>
          <w:b/>
          <w:color w:val="auto"/>
          <w:sz w:val="44"/>
          <w:szCs w:val="44"/>
          <w:highlight w:val="none"/>
        </w:rPr>
        <w:t>文</w:t>
      </w:r>
    </w:p>
    <w:p>
      <w:pPr>
        <w:spacing w:after="465"/>
        <w:jc w:val="center"/>
        <w:rPr>
          <w:rFonts w:ascii="宋体" w:hAnsi="宋体"/>
          <w:b/>
          <w:color w:val="auto"/>
          <w:sz w:val="44"/>
          <w:szCs w:val="44"/>
          <w:highlight w:val="none"/>
        </w:rPr>
      </w:pPr>
    </w:p>
    <w:p>
      <w:pPr>
        <w:spacing w:after="465"/>
        <w:jc w:val="center"/>
        <w:rPr>
          <w:rFonts w:ascii="宋体" w:hAnsi="宋体"/>
          <w:b/>
          <w:color w:val="auto"/>
          <w:sz w:val="44"/>
          <w:szCs w:val="44"/>
          <w:highlight w:val="none"/>
        </w:rPr>
      </w:pPr>
      <w:r>
        <w:rPr>
          <w:rFonts w:hint="eastAsia" w:ascii="宋体" w:hAnsi="宋体"/>
          <w:b/>
          <w:color w:val="auto"/>
          <w:sz w:val="44"/>
          <w:szCs w:val="44"/>
          <w:highlight w:val="none"/>
        </w:rPr>
        <w:t>件</w:t>
      </w:r>
    </w:p>
    <w:p>
      <w:pPr>
        <w:pStyle w:val="134"/>
        <w:keepNext w:val="0"/>
        <w:spacing w:after="465"/>
        <w:rPr>
          <w:rFonts w:ascii="宋体" w:hAnsi="宋体"/>
          <w:bCs w:val="0"/>
          <w:color w:val="auto"/>
          <w:sz w:val="32"/>
          <w:szCs w:val="32"/>
          <w:highlight w:val="none"/>
        </w:rPr>
      </w:pPr>
    </w:p>
    <w:p>
      <w:pPr>
        <w:pStyle w:val="134"/>
        <w:keepNext w:val="0"/>
        <w:spacing w:after="465"/>
        <w:rPr>
          <w:rFonts w:ascii="宋体" w:hAnsi="宋体"/>
          <w:bCs w:val="0"/>
          <w:color w:val="auto"/>
          <w:sz w:val="32"/>
          <w:szCs w:val="32"/>
          <w:highlight w:val="none"/>
        </w:rPr>
      </w:pP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u w:val="single"/>
        </w:rPr>
        <w:t>绍兴市柯桥区轨道交通集团有限公司</w:t>
      </w: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rPr>
        <w:t>浙江中兴工程项目管理有限公司</w:t>
      </w:r>
    </w:p>
    <w:p>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2022年5月</w:t>
      </w:r>
    </w:p>
    <w:p>
      <w:pPr>
        <w:rPr>
          <w:rFonts w:ascii="宋体" w:hAnsi="宋体"/>
          <w:color w:val="auto"/>
          <w:highlight w:val="none"/>
        </w:rPr>
      </w:pPr>
    </w:p>
    <w:p>
      <w:pPr>
        <w:jc w:val="center"/>
        <w:rPr>
          <w:rFonts w:ascii="宋体" w:hAnsi="宋体"/>
          <w:color w:val="auto"/>
          <w:sz w:val="40"/>
          <w:szCs w:val="40"/>
          <w:highlight w:val="none"/>
        </w:rPr>
      </w:pPr>
      <w:r>
        <w:rPr>
          <w:rFonts w:ascii="宋体" w:hAnsi="宋体"/>
          <w:color w:val="auto"/>
          <w:sz w:val="40"/>
          <w:szCs w:val="40"/>
          <w:highlight w:val="none"/>
        </w:rPr>
        <w:t>目录</w:t>
      </w:r>
    </w:p>
    <w:p>
      <w:pPr>
        <w:pStyle w:val="31"/>
        <w:tabs>
          <w:tab w:val="right" w:leader="dot" w:pos="9450"/>
        </w:tabs>
        <w:rPr>
          <w:rFonts w:ascii="宋体" w:hAnsi="宋体" w:eastAsia="宋体"/>
          <w:color w:val="auto"/>
          <w:szCs w:val="24"/>
          <w:highlight w:val="none"/>
        </w:rPr>
      </w:pPr>
    </w:p>
    <w:sdt>
      <w:sdtPr>
        <w:rPr>
          <w:rFonts w:ascii="宋体" w:hAnsi="宋体" w:eastAsia="宋体" w:cs="Times New Roman"/>
          <w:color w:val="auto"/>
          <w:sz w:val="21"/>
          <w:szCs w:val="21"/>
          <w:highlight w:val="none"/>
          <w:lang w:val="en-US" w:eastAsia="zh-CN" w:bidi="ar-SA"/>
        </w:rPr>
        <w:id w:val="147472480"/>
        <w15:color w:val="DBDBDB"/>
        <w:docPartObj>
          <w:docPartGallery w:val="Table of Contents"/>
          <w:docPartUnique/>
        </w:docPartObj>
      </w:sdtPr>
      <w:sdtEndPr>
        <w:rPr>
          <w:rFonts w:ascii="宋体" w:hAnsi="宋体" w:eastAsia="宋体" w:cs="Times New Roman"/>
          <w:color w:val="auto"/>
          <w:sz w:val="21"/>
          <w:szCs w:val="21"/>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bookmarkStart w:id="0" w:name="_Toc2470"/>
          <w:bookmarkStart w:id="1" w:name="_Toc30463"/>
          <w:bookmarkStart w:id="2" w:name="_Toc15327"/>
          <w:bookmarkStart w:id="3" w:name="_Toc519851256"/>
          <w:bookmarkStart w:id="4" w:name="_Toc355703290"/>
          <w:bookmarkStart w:id="5" w:name="_Toc125344502"/>
          <w:r>
            <w:rPr>
              <w:rFonts w:ascii="宋体" w:hAnsi="宋体" w:eastAsia="宋体"/>
              <w:color w:val="auto"/>
              <w:sz w:val="21"/>
              <w:highlight w:val="none"/>
            </w:rPr>
            <w:t>目录</w:t>
          </w:r>
        </w:p>
        <w:p>
          <w:pPr>
            <w:pStyle w:val="31"/>
            <w:tabs>
              <w:tab w:val="right" w:leader="dot" w:pos="9460"/>
            </w:tabs>
            <w:rPr>
              <w:rFonts w:hint="eastAsia" w:ascii="仿宋" w:hAnsi="仿宋" w:eastAsia="仿宋" w:cs="仿宋"/>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_Toc4129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Cs w:val="32"/>
              <w:highlight w:val="none"/>
            </w:rPr>
            <w:t>关于</w:t>
          </w:r>
          <w:r>
            <w:rPr>
              <w:rFonts w:hint="eastAsia" w:ascii="仿宋" w:hAnsi="仿宋" w:eastAsia="仿宋" w:cs="仿宋"/>
              <w:color w:val="auto"/>
              <w:spacing w:val="-4"/>
              <w:szCs w:val="32"/>
              <w:highlight w:val="none"/>
              <w:lang w:eastAsia="zh-CN"/>
            </w:rPr>
            <w:t>绍兴轨道交通一号线柯桥段招商宣传及活动策划执行服务项目</w:t>
          </w:r>
          <w:r>
            <w:rPr>
              <w:rFonts w:hint="eastAsia" w:ascii="仿宋" w:hAnsi="仿宋" w:eastAsia="仿宋" w:cs="仿宋"/>
              <w:color w:val="auto"/>
              <w:spacing w:val="-4"/>
              <w:szCs w:val="32"/>
              <w:highlight w:val="none"/>
            </w:rPr>
            <w:t>的</w:t>
          </w:r>
          <w:r>
            <w:rPr>
              <w:rFonts w:hint="eastAsia" w:ascii="仿宋" w:hAnsi="仿宋" w:eastAsia="仿宋" w:cs="仿宋"/>
              <w:color w:val="auto"/>
              <w:spacing w:val="-4"/>
              <w:kern w:val="0"/>
              <w:szCs w:val="32"/>
              <w:highlight w:val="none"/>
            </w:rPr>
            <w:t>公开招标公告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_Toc10677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0"/>
              <w:kern w:val="28"/>
              <w:szCs w:val="28"/>
              <w:highlight w:val="none"/>
            </w:rPr>
            <w:t>一、前附表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_Toc10677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_Toc10099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二、投标供应商须知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_Toc10099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_Toc10683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三、投标供应商应当提交的资格（资信）证明文件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_Toc10683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_Toc24461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四、投标报价要求、投标文件编制要求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_Toc24461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_Toc14986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五、招标项目的技术规格、要求和数量，包括附件、图样等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_Toc23787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七、交货和提供服务的时间</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_Toc23787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_Toc8621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八、评标方法、评标标准和废标条款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_Toc8621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_Toc15846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九、投标截止时间、开标时间及地点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_Toc15846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_Toc7984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十、其他事项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_Toc7984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_Toc14629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十一</w:t>
          </w:r>
          <w:r>
            <w:rPr>
              <w:rFonts w:hint="eastAsia" w:ascii="仿宋" w:hAnsi="仿宋" w:eastAsia="仿宋" w:cs="仿宋"/>
              <w:color w:val="auto"/>
              <w:szCs w:val="28"/>
              <w:highlight w:val="none"/>
            </w:rPr>
            <w:t>：评标办法及评分标准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_Toc14629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_Toc21178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 xml:space="preserve">十二、 </w:t>
          </w:r>
          <w:r>
            <w:rPr>
              <w:rFonts w:hint="eastAsia" w:ascii="仿宋" w:hAnsi="仿宋" w:eastAsia="仿宋" w:cs="仿宋"/>
              <w:color w:val="auto"/>
              <w:szCs w:val="28"/>
              <w:highlight w:val="none"/>
            </w:rPr>
            <w:t>应提交的有关格式范例</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_Toc21178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31"/>
            <w:tabs>
              <w:tab w:val="right" w:leader="dot" w:pos="9460"/>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_Toc11466 </w:instrText>
          </w:r>
          <w:r>
            <w:rPr>
              <w:rFonts w:hint="eastAsia" w:ascii="仿宋" w:hAnsi="仿宋" w:eastAsia="仿宋" w:cs="仿宋"/>
              <w:color w:val="auto"/>
              <w:highlight w:val="none"/>
            </w:rPr>
            <w:fldChar w:fldCharType="separate"/>
          </w:r>
          <w:r>
            <w:rPr>
              <w:rFonts w:hint="eastAsia" w:ascii="仿宋" w:hAnsi="仿宋" w:eastAsia="仿宋" w:cs="仿宋"/>
              <w:color w:val="auto"/>
              <w:kern w:val="2"/>
              <w:szCs w:val="32"/>
              <w:highlight w:val="none"/>
            </w:rPr>
            <w:t>一、投标(开标)一览表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rPr>
              <w:color w:val="auto"/>
              <w:highlight w:val="none"/>
            </w:rPr>
          </w:pPr>
          <w:r>
            <w:rPr>
              <w:color w:val="auto"/>
              <w:highlight w:val="none"/>
            </w:rPr>
            <w:fldChar w:fldCharType="end"/>
          </w:r>
        </w:p>
      </w:sdtContent>
    </w:sdt>
    <w:p>
      <w:pPr>
        <w:pStyle w:val="3"/>
        <w:tabs>
          <w:tab w:val="left" w:pos="851"/>
        </w:tabs>
        <w:spacing w:before="0" w:after="0" w:line="420" w:lineRule="exact"/>
        <w:jc w:val="center"/>
        <w:rPr>
          <w:rFonts w:hint="eastAsia" w:ascii="仿宋" w:hAnsi="仿宋" w:eastAsia="仿宋" w:cs="仿宋"/>
          <w:color w:val="auto"/>
          <w:spacing w:val="-4"/>
          <w:sz w:val="32"/>
          <w:szCs w:val="32"/>
          <w:highlight w:val="none"/>
          <w:u w:val="single"/>
        </w:rPr>
      </w:pPr>
      <w:r>
        <w:rPr>
          <w:rFonts w:ascii="宋体" w:hAnsi="宋体" w:cs="仿宋"/>
          <w:color w:val="auto"/>
          <w:spacing w:val="-4"/>
          <w:sz w:val="32"/>
          <w:szCs w:val="32"/>
          <w:highlight w:val="none"/>
          <w:u w:val="single"/>
        </w:rPr>
        <w:br w:type="page"/>
      </w:r>
      <w:bookmarkStart w:id="6" w:name="_Toc22880"/>
      <w:bookmarkStart w:id="7" w:name="_Toc4129"/>
      <w:r>
        <w:rPr>
          <w:rFonts w:hint="eastAsia" w:ascii="仿宋" w:hAnsi="仿宋" w:eastAsia="仿宋" w:cs="仿宋"/>
          <w:color w:val="auto"/>
          <w:spacing w:val="-4"/>
          <w:sz w:val="32"/>
          <w:szCs w:val="32"/>
          <w:highlight w:val="none"/>
          <w:u w:val="single"/>
        </w:rPr>
        <w:t>关于</w:t>
      </w:r>
      <w:r>
        <w:rPr>
          <w:rFonts w:hint="eastAsia" w:ascii="仿宋" w:hAnsi="仿宋" w:eastAsia="仿宋" w:cs="仿宋"/>
          <w:color w:val="auto"/>
          <w:spacing w:val="-4"/>
          <w:sz w:val="32"/>
          <w:szCs w:val="32"/>
          <w:highlight w:val="none"/>
          <w:u w:val="single"/>
          <w:lang w:eastAsia="zh-CN"/>
        </w:rPr>
        <w:t>绍兴轨道交通一号线柯桥段招商宣传及活动策划执行服务项目</w:t>
      </w:r>
      <w:r>
        <w:rPr>
          <w:rFonts w:hint="eastAsia" w:ascii="仿宋" w:hAnsi="仿宋" w:eastAsia="仿宋" w:cs="仿宋"/>
          <w:color w:val="auto"/>
          <w:spacing w:val="-4"/>
          <w:sz w:val="32"/>
          <w:szCs w:val="32"/>
          <w:highlight w:val="none"/>
          <w:u w:val="single"/>
        </w:rPr>
        <w:t>的</w:t>
      </w:r>
      <w:r>
        <w:rPr>
          <w:rFonts w:hint="eastAsia" w:ascii="仿宋" w:hAnsi="仿宋" w:eastAsia="仿宋" w:cs="仿宋"/>
          <w:color w:val="auto"/>
          <w:spacing w:val="-4"/>
          <w:kern w:val="0"/>
          <w:sz w:val="32"/>
          <w:szCs w:val="32"/>
          <w:highlight w:val="none"/>
        </w:rPr>
        <w:t>公开招标</w:t>
      </w:r>
      <w:bookmarkEnd w:id="6"/>
      <w:bookmarkStart w:id="8" w:name="_Toc29774"/>
      <w:r>
        <w:rPr>
          <w:rFonts w:hint="eastAsia" w:ascii="仿宋" w:hAnsi="仿宋" w:eastAsia="仿宋" w:cs="仿宋"/>
          <w:color w:val="auto"/>
          <w:spacing w:val="-4"/>
          <w:kern w:val="0"/>
          <w:sz w:val="32"/>
          <w:szCs w:val="32"/>
          <w:highlight w:val="none"/>
        </w:rPr>
        <w:t>公告</w:t>
      </w:r>
      <w:bookmarkEnd w:id="0"/>
      <w:bookmarkEnd w:id="1"/>
      <w:bookmarkEnd w:id="2"/>
      <w:bookmarkEnd w:id="3"/>
      <w:bookmarkEnd w:id="7"/>
      <w:bookmarkEnd w:id="8"/>
    </w:p>
    <w:bookmarkEnd w:id="4"/>
    <w:p>
      <w:pPr>
        <w:widowControl/>
        <w:spacing w:line="420" w:lineRule="exact"/>
        <w:jc w:val="center"/>
        <w:rPr>
          <w:rFonts w:hint="eastAsia" w:ascii="仿宋" w:hAnsi="仿宋" w:eastAsia="仿宋" w:cs="仿宋"/>
          <w:color w:val="auto"/>
          <w:sz w:val="24"/>
          <w:szCs w:val="24"/>
          <w:highlight w:val="none"/>
        </w:rPr>
      </w:pPr>
      <w:bookmarkStart w:id="9" w:name="_Toc6044"/>
      <w:r>
        <w:rPr>
          <w:rFonts w:hint="eastAsia" w:ascii="仿宋" w:hAnsi="仿宋" w:eastAsia="仿宋" w:cs="仿宋"/>
          <w:color w:val="auto"/>
          <w:sz w:val="24"/>
          <w:szCs w:val="24"/>
          <w:highlight w:val="none"/>
        </w:rPr>
        <w:t>公告时间：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31 </w:t>
      </w:r>
      <w:r>
        <w:rPr>
          <w:rFonts w:hint="eastAsia" w:ascii="仿宋" w:hAnsi="仿宋" w:eastAsia="仿宋" w:cs="仿宋"/>
          <w:color w:val="auto"/>
          <w:sz w:val="24"/>
          <w:szCs w:val="24"/>
          <w:highlight w:val="none"/>
        </w:rPr>
        <w:t>日</w:t>
      </w:r>
      <w:bookmarkEnd w:id="9"/>
    </w:p>
    <w:p>
      <w:pPr>
        <w:spacing w:line="420" w:lineRule="exact"/>
        <w:ind w:firstLine="720" w:firstLineChars="300"/>
        <w:rPr>
          <w:rFonts w:hint="eastAsia" w:ascii="仿宋" w:hAnsi="仿宋" w:eastAsia="仿宋" w:cs="仿宋"/>
          <w:color w:val="auto"/>
          <w:sz w:val="24"/>
          <w:szCs w:val="24"/>
          <w:highlight w:val="none"/>
        </w:rPr>
      </w:pPr>
      <w:bookmarkStart w:id="10" w:name="_Toc300844416"/>
      <w:r>
        <w:rPr>
          <w:rFonts w:hint="eastAsia" w:ascii="仿宋" w:hAnsi="仿宋" w:eastAsia="仿宋" w:cs="仿宋"/>
          <w:color w:val="auto"/>
          <w:sz w:val="24"/>
          <w:szCs w:val="24"/>
          <w:highlight w:val="none"/>
          <w:u w:val="single"/>
          <w:lang w:eastAsia="zh-CN"/>
        </w:rPr>
        <w:t>绍兴轨道交通一号线柯桥段招商宣传及活动策划执行服务项目</w:t>
      </w:r>
      <w:r>
        <w:rPr>
          <w:rFonts w:hint="eastAsia" w:ascii="仿宋" w:hAnsi="仿宋" w:eastAsia="仿宋" w:cs="仿宋"/>
          <w:color w:val="auto"/>
          <w:sz w:val="24"/>
          <w:szCs w:val="24"/>
          <w:highlight w:val="none"/>
        </w:rPr>
        <w:t>，已由上级主管部门批准采购，根据《中华人民共和国招标投标法》等有关规定，</w:t>
      </w:r>
      <w:r>
        <w:rPr>
          <w:rFonts w:hint="eastAsia" w:ascii="仿宋" w:hAnsi="仿宋" w:eastAsia="仿宋" w:cs="仿宋"/>
          <w:color w:val="auto"/>
          <w:spacing w:val="-6"/>
          <w:sz w:val="24"/>
          <w:szCs w:val="24"/>
          <w:highlight w:val="none"/>
          <w:u w:val="single"/>
          <w:lang w:eastAsia="zh-CN"/>
        </w:rPr>
        <w:t>绍兴市柯桥区轨道交通集团有限公司</w:t>
      </w:r>
      <w:r>
        <w:rPr>
          <w:rFonts w:hint="eastAsia" w:ascii="仿宋" w:hAnsi="仿宋" w:eastAsia="仿宋" w:cs="仿宋"/>
          <w:color w:val="auto"/>
          <w:sz w:val="24"/>
          <w:szCs w:val="24"/>
          <w:highlight w:val="none"/>
        </w:rPr>
        <w:t>委托</w:t>
      </w:r>
      <w:r>
        <w:rPr>
          <w:rFonts w:hint="eastAsia" w:ascii="仿宋" w:hAnsi="仿宋" w:eastAsia="仿宋" w:cs="仿宋"/>
          <w:color w:val="auto"/>
          <w:sz w:val="24"/>
          <w:szCs w:val="24"/>
          <w:highlight w:val="none"/>
          <w:u w:val="single"/>
          <w:lang w:val="en-US" w:eastAsia="zh-CN"/>
        </w:rPr>
        <w:t>浙江中兴工程项目管理有限公司</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u w:val="single"/>
          <w:lang w:eastAsia="zh-CN"/>
        </w:rPr>
        <w:t>绍兴轨道交通一号线柯桥段招商宣传及活动策划执行服务项目</w:t>
      </w:r>
      <w:r>
        <w:rPr>
          <w:rFonts w:hint="eastAsia" w:ascii="仿宋" w:hAnsi="仿宋" w:eastAsia="仿宋" w:cs="仿宋"/>
          <w:color w:val="auto"/>
          <w:sz w:val="24"/>
          <w:szCs w:val="24"/>
          <w:highlight w:val="none"/>
        </w:rPr>
        <w:t>，进行公开招标，欢迎国内合格的供应商前来投标。</w:t>
      </w:r>
    </w:p>
    <w:bookmarkEnd w:id="10"/>
    <w:p>
      <w:pPr>
        <w:spacing w:line="420" w:lineRule="exact"/>
        <w:ind w:firstLine="472" w:firstLineChars="196"/>
        <w:rPr>
          <w:rFonts w:hint="eastAsia" w:ascii="仿宋" w:hAnsi="仿宋" w:eastAsia="仿宋" w:cs="仿宋"/>
          <w:b/>
          <w:color w:val="auto"/>
          <w:sz w:val="24"/>
          <w:szCs w:val="24"/>
          <w:highlight w:val="none"/>
        </w:rPr>
      </w:pPr>
      <w:bookmarkStart w:id="11" w:name="_Toc20118"/>
      <w:r>
        <w:rPr>
          <w:rFonts w:hint="eastAsia" w:ascii="仿宋" w:hAnsi="仿宋" w:eastAsia="仿宋" w:cs="仿宋"/>
          <w:b/>
          <w:color w:val="auto"/>
          <w:sz w:val="24"/>
          <w:szCs w:val="24"/>
          <w:highlight w:val="none"/>
        </w:rPr>
        <w:t>一、采购项目名称：</w:t>
      </w:r>
      <w:bookmarkEnd w:id="11"/>
      <w:r>
        <w:rPr>
          <w:rFonts w:hint="eastAsia" w:ascii="仿宋" w:hAnsi="仿宋" w:eastAsia="仿宋" w:cs="仿宋"/>
          <w:color w:val="auto"/>
          <w:sz w:val="24"/>
          <w:szCs w:val="24"/>
          <w:highlight w:val="none"/>
          <w:u w:val="single"/>
          <w:lang w:eastAsia="zh-CN"/>
        </w:rPr>
        <w:t>绍兴轨道交通一号线柯桥段招商宣传及活动策划执行服务项目</w:t>
      </w:r>
    </w:p>
    <w:p>
      <w:pPr>
        <w:spacing w:line="420" w:lineRule="exact"/>
        <w:ind w:firstLine="472" w:firstLineChars="196"/>
        <w:rPr>
          <w:rFonts w:hint="eastAsia" w:ascii="仿宋" w:hAnsi="仿宋" w:eastAsia="仿宋" w:cs="仿宋"/>
          <w:color w:val="auto"/>
          <w:sz w:val="24"/>
          <w:szCs w:val="24"/>
          <w:highlight w:val="none"/>
          <w:u w:val="single"/>
        </w:rPr>
      </w:pPr>
      <w:bookmarkStart w:id="12" w:name="_Toc22310"/>
      <w:r>
        <w:rPr>
          <w:rFonts w:hint="eastAsia" w:ascii="仿宋" w:hAnsi="仿宋" w:eastAsia="仿宋" w:cs="仿宋"/>
          <w:b/>
          <w:color w:val="auto"/>
          <w:sz w:val="24"/>
          <w:szCs w:val="24"/>
          <w:highlight w:val="none"/>
        </w:rPr>
        <w:t>二、采购项目组织类型：</w:t>
      </w:r>
      <w:bookmarkEnd w:id="12"/>
      <w:r>
        <w:rPr>
          <w:rFonts w:hint="eastAsia" w:ascii="仿宋" w:hAnsi="仿宋" w:eastAsia="仿宋" w:cs="仿宋"/>
          <w:color w:val="auto"/>
          <w:sz w:val="24"/>
          <w:szCs w:val="24"/>
          <w:highlight w:val="none"/>
          <w:u w:val="single"/>
        </w:rPr>
        <w:t>自行采购—委托代理</w:t>
      </w:r>
    </w:p>
    <w:p>
      <w:pPr>
        <w:spacing w:line="420" w:lineRule="exact"/>
        <w:ind w:firstLine="482" w:firstLineChars="200"/>
        <w:rPr>
          <w:rFonts w:hint="eastAsia" w:ascii="仿宋" w:hAnsi="仿宋" w:eastAsia="仿宋" w:cs="仿宋"/>
          <w:color w:val="auto"/>
          <w:sz w:val="24"/>
          <w:szCs w:val="24"/>
          <w:highlight w:val="none"/>
        </w:rPr>
      </w:pPr>
      <w:bookmarkStart w:id="13" w:name="_Toc32167"/>
      <w:r>
        <w:rPr>
          <w:rFonts w:hint="eastAsia" w:ascii="仿宋" w:hAnsi="仿宋" w:eastAsia="仿宋" w:cs="仿宋"/>
          <w:b/>
          <w:color w:val="auto"/>
          <w:sz w:val="24"/>
          <w:szCs w:val="24"/>
          <w:highlight w:val="none"/>
        </w:rPr>
        <w:t>三、采购项目概况</w:t>
      </w:r>
      <w:r>
        <w:rPr>
          <w:rFonts w:hint="eastAsia" w:ascii="仿宋" w:hAnsi="仿宋" w:eastAsia="仿宋" w:cs="仿宋"/>
          <w:color w:val="auto"/>
          <w:sz w:val="24"/>
          <w:szCs w:val="24"/>
          <w:highlight w:val="none"/>
        </w:rPr>
        <w:t>（包括内容、用途、数量、简要技术要求等）：</w:t>
      </w:r>
      <w:bookmarkEnd w:id="13"/>
    </w:p>
    <w:p>
      <w:pPr>
        <w:spacing w:line="42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本次采购内容为:</w:t>
      </w:r>
      <w:r>
        <w:rPr>
          <w:rFonts w:hint="eastAsia" w:ascii="仿宋" w:hAnsi="仿宋" w:eastAsia="仿宋" w:cs="仿宋"/>
          <w:color w:val="auto"/>
          <w:sz w:val="24"/>
          <w:szCs w:val="24"/>
          <w:highlight w:val="none"/>
          <w:u w:val="single"/>
          <w:lang w:eastAsia="zh-CN"/>
        </w:rPr>
        <w:t>绍兴轨道交通一号线柯桥段招商宣传及活动策划执行服务项目</w:t>
      </w:r>
      <w:r>
        <w:rPr>
          <w:rFonts w:hint="eastAsia" w:ascii="仿宋" w:hAnsi="仿宋" w:eastAsia="仿宋" w:cs="仿宋"/>
          <w:color w:val="auto"/>
          <w:sz w:val="24"/>
          <w:szCs w:val="24"/>
          <w:highlight w:val="none"/>
          <w:u w:val="single"/>
        </w:rPr>
        <w:t>等内容；具体详见招标文件。</w:t>
      </w:r>
      <w:r>
        <w:rPr>
          <w:rFonts w:hint="eastAsia" w:ascii="仿宋" w:hAnsi="仿宋" w:eastAsia="仿宋" w:cs="仿宋"/>
          <w:color w:val="auto"/>
          <w:sz w:val="24"/>
          <w:szCs w:val="24"/>
          <w:highlight w:val="none"/>
        </w:rPr>
        <w:t>采购预算价约</w:t>
      </w:r>
      <w:r>
        <w:rPr>
          <w:rFonts w:hint="eastAsia" w:ascii="仿宋" w:hAnsi="仿宋" w:eastAsia="仿宋" w:cs="仿宋"/>
          <w:color w:val="auto"/>
          <w:sz w:val="24"/>
          <w:szCs w:val="24"/>
          <w:highlight w:val="none"/>
          <w:u w:val="single"/>
          <w:lang w:val="en-US" w:eastAsia="zh-CN"/>
        </w:rPr>
        <w:t>24.6</w:t>
      </w:r>
      <w:r>
        <w:rPr>
          <w:rFonts w:hint="eastAsia" w:ascii="仿宋" w:hAnsi="仿宋" w:eastAsia="仿宋" w:cs="仿宋"/>
          <w:color w:val="auto"/>
          <w:sz w:val="24"/>
          <w:szCs w:val="24"/>
          <w:highlight w:val="none"/>
        </w:rPr>
        <w:t>万元。</w:t>
      </w:r>
    </w:p>
    <w:p>
      <w:pPr>
        <w:spacing w:line="420" w:lineRule="exact"/>
        <w:ind w:firstLine="480" w:firstLineChars="200"/>
        <w:rPr>
          <w:rFonts w:hint="eastAsia" w:ascii="仿宋" w:hAnsi="仿宋" w:eastAsia="仿宋" w:cs="仿宋"/>
          <w:color w:val="auto"/>
          <w:sz w:val="24"/>
          <w:szCs w:val="24"/>
          <w:highlight w:val="none"/>
        </w:rPr>
      </w:pPr>
      <w:bookmarkStart w:id="14" w:name="_Toc16513"/>
      <w:r>
        <w:rPr>
          <w:rFonts w:hint="eastAsia" w:ascii="仿宋" w:hAnsi="仿宋" w:eastAsia="仿宋" w:cs="仿宋"/>
          <w:color w:val="auto"/>
          <w:sz w:val="24"/>
          <w:szCs w:val="24"/>
          <w:highlight w:val="none"/>
        </w:rPr>
        <w:t>四、投标供应商资格要求：</w:t>
      </w:r>
      <w:bookmarkEnd w:id="14"/>
    </w:p>
    <w:p>
      <w:pPr>
        <w:spacing w:line="360" w:lineRule="auto"/>
        <w:ind w:firstLine="480" w:firstLineChars="200"/>
        <w:jc w:val="left"/>
        <w:rPr>
          <w:rFonts w:hint="eastAsia" w:ascii="仿宋" w:hAnsi="仿宋" w:eastAsia="仿宋"/>
          <w:color w:val="auto"/>
          <w:sz w:val="24"/>
          <w:szCs w:val="28"/>
          <w:highlight w:val="none"/>
        </w:rPr>
      </w:pPr>
      <w:bookmarkStart w:id="15" w:name="_Toc12300"/>
      <w:r>
        <w:rPr>
          <w:rFonts w:hint="eastAsia" w:ascii="仿宋" w:hAnsi="仿宋" w:eastAsia="仿宋"/>
          <w:color w:val="auto"/>
          <w:sz w:val="24"/>
          <w:szCs w:val="28"/>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2、特定资质：</w:t>
      </w:r>
      <w:r>
        <w:rPr>
          <w:rFonts w:hint="eastAsia" w:ascii="仿宋" w:eastAsia="仿宋"/>
          <w:b/>
          <w:bCs/>
          <w:color w:val="auto"/>
          <w:sz w:val="24"/>
          <w:szCs w:val="28"/>
          <w:highlight w:val="none"/>
        </w:rPr>
        <w:t>/。</w:t>
      </w:r>
    </w:p>
    <w:p>
      <w:pPr>
        <w:widowControl/>
        <w:spacing w:line="420" w:lineRule="exact"/>
        <w:ind w:firstLine="542" w:firstLineChars="22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val="en-US" w:eastAsia="zh-CN"/>
        </w:rPr>
        <w:t>获取</w:t>
      </w:r>
      <w:r>
        <w:rPr>
          <w:rFonts w:hint="eastAsia" w:ascii="仿宋" w:hAnsi="仿宋" w:eastAsia="仿宋" w:cs="仿宋"/>
          <w:b/>
          <w:color w:val="auto"/>
          <w:sz w:val="24"/>
          <w:szCs w:val="24"/>
          <w:highlight w:val="none"/>
        </w:rPr>
        <w:t>及招标文件的获取：</w:t>
      </w:r>
      <w:bookmarkEnd w:id="15"/>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时间：自公告之日起至</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6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日16：00时截止（公休日除外）。</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2、需提交的资料：企业营业执照、报名者身份证、法定代表授权委托书，（注明联系号码及QQ邮箱号码），并联系代理机构确认。未及时</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和未按要求提交核验资料的，</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无效，</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后，方可获取招标文件。</w:t>
      </w:r>
    </w:p>
    <w:p>
      <w:pPr>
        <w:autoSpaceDE/>
        <w:autoSpaceDN/>
        <w:adjustRightInd/>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3、报名方式:</w:t>
      </w:r>
      <w:r>
        <w:rPr>
          <w:rFonts w:hint="eastAsia" w:ascii="仿宋" w:hAnsi="仿宋" w:eastAsia="仿宋" w:cs="仿宋"/>
          <w:color w:val="auto"/>
          <w:sz w:val="24"/>
          <w:szCs w:val="24"/>
          <w:highlight w:val="none"/>
          <w:lang w:val="en-US" w:eastAsia="zh-CN"/>
        </w:rPr>
        <w:t>将以上资料加盖公章后的扫描件</w:t>
      </w:r>
      <w:r>
        <w:rPr>
          <w:rFonts w:hint="eastAsia" w:ascii="仿宋" w:hAnsi="仿宋" w:eastAsia="仿宋" w:cs="仿宋"/>
          <w:color w:val="auto"/>
          <w:sz w:val="24"/>
          <w:szCs w:val="24"/>
          <w:highlight w:val="none"/>
        </w:rPr>
        <w:t>以邮件形式</w:t>
      </w:r>
      <w:r>
        <w:rPr>
          <w:rFonts w:hint="eastAsia" w:ascii="仿宋" w:hAnsi="仿宋" w:eastAsia="仿宋" w:cs="仿宋"/>
          <w:color w:val="auto"/>
          <w:sz w:val="24"/>
          <w:szCs w:val="24"/>
          <w:highlight w:val="none"/>
          <w:lang w:val="en-US" w:eastAsia="zh-CN"/>
        </w:rPr>
        <w:t>发送至邮箱：527779517@qq.com</w:t>
      </w:r>
      <w:r>
        <w:rPr>
          <w:rFonts w:hint="eastAsia" w:ascii="仿宋" w:hAnsi="仿宋" w:eastAsia="仿宋" w:cs="仿宋"/>
          <w:color w:val="auto"/>
          <w:sz w:val="24"/>
          <w:szCs w:val="24"/>
          <w:highlight w:val="none"/>
        </w:rPr>
        <w:t>。</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截止时间后至投标截止时间前，潜在投标供应商提出要求获取采购文件的，可允许其获取，但该供应商如对采购文件有疑问的，应在采购文件载明的投标提问截止时间前提出，逾期提出的，采购人有权不予受理、答复。</w:t>
      </w:r>
    </w:p>
    <w:p>
      <w:pPr>
        <w:autoSpaceDE/>
        <w:autoSpaceDN/>
        <w:adjustRightInd/>
        <w:spacing w:line="42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标书售价：0元。</w:t>
      </w:r>
    </w:p>
    <w:p>
      <w:pPr>
        <w:widowControl/>
        <w:spacing w:line="420" w:lineRule="exact"/>
        <w:ind w:firstLine="542" w:firstLineChars="225"/>
        <w:jc w:val="left"/>
        <w:rPr>
          <w:rFonts w:hint="eastAsia" w:ascii="仿宋" w:hAnsi="仿宋" w:eastAsia="仿宋" w:cs="仿宋"/>
          <w:color w:val="auto"/>
          <w:sz w:val="24"/>
          <w:szCs w:val="24"/>
          <w:highlight w:val="none"/>
        </w:rPr>
      </w:pPr>
      <w:bookmarkStart w:id="16" w:name="_Toc26514"/>
      <w:r>
        <w:rPr>
          <w:rFonts w:hint="eastAsia" w:ascii="仿宋" w:hAnsi="仿宋" w:eastAsia="仿宋" w:cs="仿宋"/>
          <w:b/>
          <w:color w:val="auto"/>
          <w:sz w:val="24"/>
          <w:szCs w:val="24"/>
          <w:highlight w:val="none"/>
        </w:rPr>
        <w:t>六、</w:t>
      </w:r>
      <w:bookmarkEnd w:id="16"/>
      <w:r>
        <w:rPr>
          <w:rFonts w:hint="eastAsia" w:ascii="仿宋" w:hAnsi="仿宋" w:eastAsia="仿宋" w:cs="仿宋"/>
          <w:b/>
          <w:color w:val="auto"/>
          <w:sz w:val="24"/>
          <w:szCs w:val="24"/>
          <w:highlight w:val="none"/>
        </w:rPr>
        <w:t>投标截止时间：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6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下午14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0截止。</w:t>
      </w:r>
    </w:p>
    <w:p>
      <w:pPr>
        <w:widowControl/>
        <w:spacing w:line="420" w:lineRule="exact"/>
        <w:ind w:firstLine="542" w:firstLineChars="225"/>
        <w:jc w:val="left"/>
        <w:rPr>
          <w:rFonts w:hint="eastAsia" w:ascii="仿宋" w:hAnsi="仿宋" w:eastAsia="仿宋" w:cs="仿宋"/>
          <w:color w:val="auto"/>
          <w:sz w:val="24"/>
          <w:szCs w:val="24"/>
          <w:highlight w:val="none"/>
        </w:rPr>
      </w:pPr>
      <w:bookmarkStart w:id="17" w:name="_Toc25408"/>
      <w:r>
        <w:rPr>
          <w:rFonts w:hint="eastAsia" w:ascii="仿宋" w:hAnsi="仿宋" w:eastAsia="仿宋" w:cs="仿宋"/>
          <w:b/>
          <w:color w:val="auto"/>
          <w:sz w:val="24"/>
          <w:szCs w:val="24"/>
          <w:highlight w:val="none"/>
        </w:rPr>
        <w:t>七、投标地点：</w:t>
      </w:r>
      <w:bookmarkEnd w:id="17"/>
      <w:r>
        <w:rPr>
          <w:rFonts w:hint="eastAsia" w:ascii="仿宋" w:hAnsi="仿宋" w:eastAsia="仿宋" w:cs="仿宋"/>
          <w:color w:val="auto"/>
          <w:sz w:val="24"/>
          <w:szCs w:val="24"/>
          <w:highlight w:val="none"/>
          <w:lang w:val="en-US" w:eastAsia="zh-CN"/>
        </w:rPr>
        <w:t>绍兴市柯桥区钱清街道万绣路车辆基地培训中心1216楼</w:t>
      </w:r>
      <w:r>
        <w:rPr>
          <w:rFonts w:hint="eastAsia" w:ascii="仿宋" w:hAnsi="仿宋" w:eastAsia="仿宋" w:cs="仿宋"/>
          <w:color w:val="auto"/>
          <w:sz w:val="24"/>
          <w:szCs w:val="24"/>
          <w:highlight w:val="none"/>
        </w:rPr>
        <w:t>。</w:t>
      </w:r>
    </w:p>
    <w:p>
      <w:pPr>
        <w:widowControl/>
        <w:spacing w:line="420" w:lineRule="exact"/>
        <w:ind w:firstLine="542" w:firstLineChars="225"/>
        <w:jc w:val="left"/>
        <w:rPr>
          <w:rFonts w:hint="eastAsia" w:ascii="仿宋" w:hAnsi="仿宋" w:eastAsia="仿宋" w:cs="仿宋"/>
          <w:color w:val="auto"/>
          <w:sz w:val="24"/>
          <w:szCs w:val="24"/>
          <w:highlight w:val="none"/>
        </w:rPr>
      </w:pPr>
      <w:bookmarkStart w:id="18" w:name="_Toc11109"/>
      <w:r>
        <w:rPr>
          <w:rFonts w:hint="eastAsia" w:ascii="仿宋" w:hAnsi="仿宋" w:eastAsia="仿宋" w:cs="仿宋"/>
          <w:b/>
          <w:color w:val="auto"/>
          <w:sz w:val="24"/>
          <w:szCs w:val="24"/>
          <w:highlight w:val="none"/>
        </w:rPr>
        <w:t>八、开标时间：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6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9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下午14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bookmarkEnd w:id="18"/>
    </w:p>
    <w:p>
      <w:pPr>
        <w:widowControl/>
        <w:autoSpaceDE/>
        <w:autoSpaceDN/>
        <w:adjustRightInd/>
        <w:spacing w:line="440" w:lineRule="exact"/>
        <w:ind w:firstLine="482" w:firstLineChars="200"/>
        <w:jc w:val="left"/>
        <w:rPr>
          <w:rFonts w:hint="eastAsia" w:ascii="仿宋" w:hAnsi="仿宋" w:eastAsia="仿宋" w:cs="仿宋"/>
          <w:color w:val="auto"/>
          <w:kern w:val="2"/>
          <w:sz w:val="24"/>
          <w:szCs w:val="24"/>
          <w:highlight w:val="none"/>
        </w:rPr>
      </w:pPr>
      <w:bookmarkStart w:id="19" w:name="_Toc269822337"/>
      <w:bookmarkStart w:id="20" w:name="_Toc268337734"/>
      <w:bookmarkStart w:id="21" w:name="_Toc267776263"/>
      <w:r>
        <w:rPr>
          <w:rFonts w:hint="eastAsia" w:ascii="仿宋" w:hAnsi="仿宋" w:eastAsia="仿宋" w:cs="仿宋"/>
          <w:b/>
          <w:color w:val="auto"/>
          <w:kern w:val="2"/>
          <w:sz w:val="24"/>
          <w:szCs w:val="24"/>
          <w:highlight w:val="none"/>
        </w:rPr>
        <w:t>九、开标地点：</w:t>
      </w:r>
      <w:bookmarkEnd w:id="19"/>
      <w:bookmarkEnd w:id="20"/>
      <w:bookmarkEnd w:id="21"/>
      <w:r>
        <w:rPr>
          <w:rFonts w:hint="eastAsia" w:ascii="仿宋" w:hAnsi="仿宋" w:eastAsia="仿宋" w:cs="仿宋"/>
          <w:color w:val="auto"/>
          <w:sz w:val="24"/>
          <w:szCs w:val="24"/>
          <w:highlight w:val="none"/>
          <w:lang w:val="en-US" w:eastAsia="zh-CN"/>
        </w:rPr>
        <w:t>绍兴市柯桥区钱清街道万绣路车辆基地培训中心1216楼</w:t>
      </w:r>
      <w:r>
        <w:rPr>
          <w:rFonts w:hint="eastAsia" w:ascii="仿宋" w:hAnsi="仿宋" w:eastAsia="仿宋" w:cs="仿宋"/>
          <w:color w:val="auto"/>
          <w:sz w:val="24"/>
          <w:szCs w:val="24"/>
          <w:highlight w:val="none"/>
        </w:rPr>
        <w:t>。开标采用不见面开标，投标单位在投标截止时间前提交投标文件，即交即走，不参加开标会议。</w:t>
      </w:r>
    </w:p>
    <w:p>
      <w:pPr>
        <w:widowControl/>
        <w:spacing w:line="420" w:lineRule="exact"/>
        <w:ind w:firstLine="542" w:firstLineChars="225"/>
        <w:jc w:val="left"/>
        <w:rPr>
          <w:rFonts w:hint="eastAsia" w:ascii="仿宋" w:hAnsi="仿宋" w:eastAsia="仿宋" w:cs="仿宋"/>
          <w:b/>
          <w:color w:val="auto"/>
          <w:sz w:val="24"/>
          <w:szCs w:val="24"/>
          <w:highlight w:val="none"/>
        </w:rPr>
      </w:pPr>
      <w:bookmarkStart w:id="22" w:name="_Toc17055"/>
      <w:r>
        <w:rPr>
          <w:rFonts w:hint="eastAsia" w:ascii="仿宋" w:hAnsi="仿宋" w:eastAsia="仿宋" w:cs="仿宋"/>
          <w:b/>
          <w:color w:val="auto"/>
          <w:sz w:val="24"/>
          <w:szCs w:val="24"/>
          <w:highlight w:val="none"/>
        </w:rPr>
        <w:t>十、投标保证金：</w:t>
      </w:r>
      <w:bookmarkEnd w:id="22"/>
    </w:p>
    <w:p>
      <w:pPr>
        <w:widowControl/>
        <w:spacing w:line="500" w:lineRule="exact"/>
        <w:ind w:firstLine="540" w:firstLineChars="225"/>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投标保证金：/</w:t>
      </w:r>
    </w:p>
    <w:p>
      <w:pPr>
        <w:widowControl/>
        <w:spacing w:line="420" w:lineRule="exact"/>
        <w:ind w:firstLine="482" w:firstLineChars="200"/>
        <w:jc w:val="left"/>
        <w:rPr>
          <w:rFonts w:hint="eastAsia" w:ascii="仿宋" w:hAnsi="仿宋" w:eastAsia="仿宋" w:cs="仿宋"/>
          <w:b/>
          <w:color w:val="auto"/>
          <w:sz w:val="24"/>
          <w:szCs w:val="24"/>
          <w:highlight w:val="none"/>
        </w:rPr>
      </w:pPr>
      <w:bookmarkStart w:id="23" w:name="_Toc29289"/>
      <w:r>
        <w:rPr>
          <w:rFonts w:hint="eastAsia" w:ascii="仿宋" w:hAnsi="仿宋" w:eastAsia="仿宋" w:cs="仿宋"/>
          <w:b/>
          <w:color w:val="auto"/>
          <w:sz w:val="24"/>
          <w:szCs w:val="24"/>
          <w:highlight w:val="none"/>
        </w:rPr>
        <w:t>十一、其他事项：</w:t>
      </w:r>
      <w:bookmarkEnd w:id="23"/>
    </w:p>
    <w:p>
      <w:pPr>
        <w:widowControl/>
        <w:spacing w:line="420" w:lineRule="exact"/>
        <w:ind w:firstLine="540" w:firstLineChars="2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1、其他有关事项以招标文件规定为准。</w:t>
      </w:r>
    </w:p>
    <w:p>
      <w:pPr>
        <w:widowControl/>
        <w:spacing w:line="420" w:lineRule="exact"/>
        <w:ind w:firstLine="540" w:firstLineChars="2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绍兴市柯桥区公共资源交易管理委员会办公室关于在疫情防控期间有序开展公共资源交易活动有关要求的通知》http://www.kq.gov.cn/art/2020/2/20/art_1228965025_41953587.html及《疫情期间招标采购临时举措》本项目采用投标单位不见面开标方式，投标单位代表不用参加开标会议。</w:t>
      </w:r>
    </w:p>
    <w:p>
      <w:pPr>
        <w:widowControl/>
        <w:spacing w:line="420" w:lineRule="exact"/>
        <w:ind w:firstLine="540" w:firstLineChars="2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r>
        <w:rPr>
          <w:rFonts w:hint="eastAsia" w:ascii="仿宋" w:hAnsi="仿宋" w:eastAsia="仿宋" w:cs="仿宋"/>
          <w:color w:val="auto"/>
          <w:sz w:val="24"/>
          <w:szCs w:val="24"/>
          <w:highlight w:val="none"/>
          <w:u w:val="single"/>
        </w:rPr>
        <w:t>综合评分法。</w:t>
      </w:r>
    </w:p>
    <w:p>
      <w:pPr>
        <w:widowControl/>
        <w:spacing w:line="420" w:lineRule="exact"/>
        <w:ind w:firstLine="482" w:firstLineChars="200"/>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联系方式</w:t>
      </w:r>
      <w:r>
        <w:rPr>
          <w:rFonts w:hint="eastAsia" w:ascii="仿宋" w:hAnsi="仿宋" w:eastAsia="仿宋" w:cs="仿宋"/>
          <w:b/>
          <w:color w:val="auto"/>
          <w:sz w:val="24"/>
          <w:szCs w:val="24"/>
          <w:highlight w:val="none"/>
          <w:lang w:eastAsia="zh-CN"/>
        </w:rPr>
        <w:t>：</w:t>
      </w:r>
    </w:p>
    <w:p>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1.采购人信息</w:t>
      </w:r>
    </w:p>
    <w:p>
      <w:pPr>
        <w:widowControl/>
        <w:spacing w:line="360" w:lineRule="auto"/>
        <w:jc w:val="left"/>
        <w:rPr>
          <w:rFonts w:hint="eastAsia"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名称：</w:t>
      </w:r>
      <w:r>
        <w:rPr>
          <w:rFonts w:hint="eastAsia" w:ascii="仿宋" w:hAnsi="仿宋" w:eastAsia="仿宋"/>
          <w:color w:val="auto"/>
          <w:sz w:val="24"/>
          <w:szCs w:val="28"/>
          <w:highlight w:val="none"/>
          <w:u w:val="single"/>
        </w:rPr>
        <w:t>绍兴市柯桥区轨道交通集团有限公司</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地址：</w:t>
      </w:r>
      <w:r>
        <w:rPr>
          <w:rFonts w:hint="eastAsia" w:ascii="仿宋" w:hAnsi="仿宋" w:eastAsia="仿宋"/>
          <w:color w:val="auto"/>
          <w:sz w:val="24"/>
          <w:szCs w:val="28"/>
          <w:highlight w:val="none"/>
          <w:u w:val="single"/>
        </w:rPr>
        <w:t>绍兴市柯桥区钱清街道万绣路车辆基地培训中心12楼</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项目联系人（询问）：</w:t>
      </w:r>
      <w:r>
        <w:rPr>
          <w:rFonts w:hint="eastAsia" w:ascii="仿宋" w:hAnsi="仿宋" w:eastAsia="仿宋" w:cs="宋体"/>
          <w:color w:val="auto"/>
          <w:sz w:val="24"/>
          <w:szCs w:val="28"/>
          <w:highlight w:val="none"/>
        </w:rPr>
        <w:t>徐工</w:t>
      </w:r>
    </w:p>
    <w:p>
      <w:pPr>
        <w:widowControl/>
        <w:spacing w:line="360" w:lineRule="auto"/>
        <w:jc w:val="left"/>
        <w:rPr>
          <w:rFonts w:ascii="仿宋" w:hAnsi="仿宋" w:eastAsia="仿宋"/>
          <w:color w:val="auto"/>
          <w:sz w:val="24"/>
          <w:szCs w:val="28"/>
          <w:highlight w:val="none"/>
          <w:u w:val="singl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项目联系方式（询问）：</w:t>
      </w:r>
      <w:r>
        <w:rPr>
          <w:rFonts w:hint="eastAsia" w:ascii="仿宋" w:hAnsi="仿宋" w:eastAsia="仿宋" w:cs="宋体"/>
          <w:color w:val="auto"/>
          <w:sz w:val="24"/>
          <w:szCs w:val="28"/>
          <w:highlight w:val="none"/>
          <w:u w:val="single"/>
        </w:rPr>
        <w:t>0575</w:t>
      </w:r>
      <w:r>
        <w:rPr>
          <w:rFonts w:hint="eastAsia" w:ascii="仿宋" w:hAnsi="仿宋" w:eastAsia="仿宋" w:cs="宋体"/>
          <w:color w:val="auto"/>
          <w:sz w:val="24"/>
          <w:szCs w:val="28"/>
          <w:highlight w:val="none"/>
          <w:u w:val="single"/>
          <w:lang w:val="en-US" w:eastAsia="zh-CN"/>
        </w:rPr>
        <w:t>-</w:t>
      </w:r>
      <w:r>
        <w:rPr>
          <w:rFonts w:hint="eastAsia" w:ascii="仿宋" w:hAnsi="仿宋" w:eastAsia="仿宋" w:cs="宋体"/>
          <w:color w:val="auto"/>
          <w:sz w:val="24"/>
          <w:szCs w:val="28"/>
          <w:highlight w:val="none"/>
          <w:u w:val="single"/>
        </w:rPr>
        <w:t>84111661</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质疑联系人：</w:t>
      </w:r>
      <w:r>
        <w:rPr>
          <w:rFonts w:hint="eastAsia" w:ascii="仿宋" w:hAnsi="仿宋" w:eastAsia="仿宋"/>
          <w:color w:val="auto"/>
          <w:sz w:val="24"/>
          <w:szCs w:val="28"/>
          <w:highlight w:val="none"/>
          <w:u w:val="single"/>
        </w:rPr>
        <w:t>沈工</w:t>
      </w:r>
    </w:p>
    <w:p>
      <w:pPr>
        <w:widowControl/>
        <w:spacing w:line="360" w:lineRule="auto"/>
        <w:jc w:val="left"/>
        <w:rPr>
          <w:rFonts w:hint="eastAsia" w:ascii="仿宋" w:hAnsi="仿宋" w:eastAsia="仿宋"/>
          <w:color w:val="auto"/>
          <w:sz w:val="24"/>
          <w:szCs w:val="28"/>
          <w:highlight w:val="none"/>
          <w:u w:val="singl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质疑联系方式：</w:t>
      </w:r>
      <w:r>
        <w:rPr>
          <w:rFonts w:hint="eastAsia" w:ascii="仿宋" w:hAnsi="仿宋" w:eastAsia="仿宋"/>
          <w:color w:val="auto"/>
          <w:sz w:val="24"/>
          <w:szCs w:val="28"/>
          <w:highlight w:val="none"/>
          <w:u w:val="single"/>
        </w:rPr>
        <w:t>0575-84117781</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2.</w:t>
      </w:r>
      <w:r>
        <w:rPr>
          <w:rFonts w:ascii="仿宋" w:hAnsi="仿宋" w:eastAsia="仿宋" w:cs="宋体"/>
          <w:color w:val="auto"/>
          <w:sz w:val="24"/>
          <w:szCs w:val="28"/>
          <w:highlight w:val="none"/>
        </w:rPr>
        <w:t>采购代理机构信息</w:t>
      </w:r>
    </w:p>
    <w:p>
      <w:pPr>
        <w:widowControl/>
        <w:spacing w:line="360" w:lineRule="auto"/>
        <w:jc w:val="left"/>
        <w:rPr>
          <w:rFonts w:hint="eastAsia"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名称：</w:t>
      </w:r>
      <w:r>
        <w:rPr>
          <w:rFonts w:hint="eastAsia" w:ascii="仿宋" w:hAnsi="仿宋" w:eastAsia="仿宋"/>
          <w:color w:val="auto"/>
          <w:sz w:val="24"/>
          <w:szCs w:val="28"/>
          <w:highlight w:val="none"/>
          <w:u w:val="single"/>
        </w:rPr>
        <w:t>浙江中兴工程项目管理有限公司</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地址：</w:t>
      </w:r>
      <w:r>
        <w:rPr>
          <w:rFonts w:hint="eastAsia" w:ascii="仿宋" w:hAnsi="仿宋" w:eastAsia="仿宋"/>
          <w:color w:val="auto"/>
          <w:sz w:val="24"/>
          <w:szCs w:val="28"/>
          <w:highlight w:val="none"/>
          <w:u w:val="single"/>
        </w:rPr>
        <w:t>绍兴市越城区凤林西楼172号亿兆大厦13楼</w:t>
      </w:r>
    </w:p>
    <w:p>
      <w:pPr>
        <w:widowControl/>
        <w:spacing w:line="360" w:lineRule="auto"/>
        <w:jc w:val="left"/>
        <w:rPr>
          <w:rFonts w:hint="eastAsia"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项目联系人（询问）：</w:t>
      </w:r>
      <w:r>
        <w:rPr>
          <w:rFonts w:hint="eastAsia" w:ascii="仿宋" w:hAnsi="仿宋" w:eastAsia="仿宋"/>
          <w:color w:val="auto"/>
          <w:sz w:val="24"/>
          <w:szCs w:val="28"/>
          <w:highlight w:val="none"/>
          <w:u w:val="single"/>
        </w:rPr>
        <w:t>沈亚菲</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项目联系方式（询问）：</w:t>
      </w:r>
      <w:r>
        <w:rPr>
          <w:rFonts w:hint="eastAsia" w:ascii="仿宋" w:hAnsi="仿宋" w:eastAsia="仿宋"/>
          <w:color w:val="auto"/>
          <w:sz w:val="24"/>
          <w:szCs w:val="28"/>
          <w:highlight w:val="none"/>
          <w:u w:val="single"/>
        </w:rPr>
        <w:t>15158265756</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质疑联系人：</w:t>
      </w:r>
      <w:r>
        <w:rPr>
          <w:rFonts w:hint="eastAsia" w:ascii="仿宋" w:hAnsi="仿宋" w:eastAsia="仿宋"/>
          <w:color w:val="auto"/>
          <w:sz w:val="24"/>
          <w:szCs w:val="28"/>
          <w:highlight w:val="none"/>
          <w:u w:val="single"/>
        </w:rPr>
        <w:t>朱翔</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质疑联系方式：</w:t>
      </w:r>
      <w:r>
        <w:rPr>
          <w:rFonts w:hint="eastAsia" w:ascii="仿宋" w:hAnsi="仿宋" w:eastAsia="仿宋"/>
          <w:color w:val="auto"/>
          <w:sz w:val="24"/>
          <w:szCs w:val="28"/>
          <w:highlight w:val="none"/>
          <w:u w:val="single"/>
        </w:rPr>
        <w:t>0575-88318802</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hint="eastAsia" w:ascii="仿宋" w:hAnsi="仿宋" w:eastAsia="仿宋" w:cs="仿宋"/>
          <w:color w:val="auto"/>
          <w:sz w:val="24"/>
          <w:szCs w:val="28"/>
          <w:highlight w:val="none"/>
        </w:rPr>
        <w:t>3.</w:t>
      </w:r>
      <w:r>
        <w:rPr>
          <w:rFonts w:hint="eastAsia" w:ascii="仿宋" w:hAnsi="仿宋" w:eastAsia="仿宋" w:cs="宋体"/>
          <w:color w:val="auto"/>
          <w:sz w:val="24"/>
          <w:szCs w:val="28"/>
          <w:highlight w:val="none"/>
        </w:rPr>
        <w:t>国有企业</w:t>
      </w:r>
      <w:r>
        <w:rPr>
          <w:rFonts w:ascii="仿宋" w:hAnsi="仿宋" w:eastAsia="仿宋" w:cs="宋体"/>
          <w:color w:val="auto"/>
          <w:sz w:val="24"/>
          <w:szCs w:val="28"/>
          <w:highlight w:val="none"/>
        </w:rPr>
        <w:t xml:space="preserve">采购监督管理部门 </w:t>
      </w:r>
    </w:p>
    <w:p>
      <w:pPr>
        <w:widowControl/>
        <w:spacing w:line="360" w:lineRule="auto"/>
        <w:jc w:val="left"/>
        <w:rPr>
          <w:rFonts w:ascii="仿宋" w:hAnsi="仿宋" w:eastAsia="仿宋"/>
          <w:color w:val="auto"/>
          <w:sz w:val="24"/>
          <w:szCs w:val="28"/>
          <w:highlight w:val="none"/>
          <w:u w:val="singl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名称：</w:t>
      </w:r>
      <w:r>
        <w:rPr>
          <w:rFonts w:hint="eastAsia" w:ascii="仿宋" w:hAnsi="仿宋" w:eastAsia="仿宋"/>
          <w:color w:val="auto"/>
          <w:sz w:val="24"/>
          <w:szCs w:val="28"/>
          <w:highlight w:val="none"/>
          <w:u w:val="single"/>
        </w:rPr>
        <w:t>绍兴市柯桥区轨道交通集团有限公司</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地址：</w:t>
      </w:r>
      <w:r>
        <w:rPr>
          <w:rFonts w:hint="eastAsia" w:ascii="仿宋" w:hAnsi="仿宋" w:eastAsia="仿宋" w:cs="宋体"/>
          <w:color w:val="auto"/>
          <w:kern w:val="0"/>
          <w:sz w:val="24"/>
          <w:szCs w:val="28"/>
          <w:highlight w:val="none"/>
          <w:u w:val="single"/>
        </w:rPr>
        <w:t>绍兴市柯桥区钱清街道万绣路车辆基地培训中心11楼</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联系人 ：</w:t>
      </w:r>
      <w:r>
        <w:rPr>
          <w:rFonts w:hint="eastAsia" w:ascii="仿宋" w:hAnsi="仿宋" w:eastAsia="仿宋"/>
          <w:color w:val="auto"/>
          <w:sz w:val="24"/>
          <w:szCs w:val="28"/>
          <w:highlight w:val="none"/>
          <w:u w:val="single"/>
        </w:rPr>
        <w:t>金工</w:t>
      </w:r>
    </w:p>
    <w:p>
      <w:pPr>
        <w:spacing w:line="360" w:lineRule="auto"/>
        <w:jc w:val="left"/>
        <w:rPr>
          <w:rFonts w:ascii="仿宋" w:hAnsi="仿宋" w:eastAsia="仿宋" w:cs="宋体"/>
          <w:snapToGrid w:val="0"/>
          <w:color w:val="auto"/>
          <w:kern w:val="0"/>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监督投诉电话：</w:t>
      </w:r>
      <w:r>
        <w:rPr>
          <w:rFonts w:hint="eastAsia" w:ascii="仿宋" w:hAnsi="仿宋" w:eastAsia="仿宋"/>
          <w:color w:val="auto"/>
          <w:sz w:val="24"/>
          <w:szCs w:val="28"/>
          <w:highlight w:val="none"/>
          <w:u w:val="single"/>
        </w:rPr>
        <w:t>0575-84117892</w:t>
      </w:r>
    </w:p>
    <w:p>
      <w:pPr>
        <w:rPr>
          <w:rFonts w:ascii="宋体" w:hAnsi="宋体"/>
          <w:color w:val="auto"/>
          <w:highlight w:val="none"/>
        </w:rPr>
      </w:pPr>
    </w:p>
    <w:bookmarkEnd w:id="5"/>
    <w:p>
      <w:pPr>
        <w:pStyle w:val="3"/>
        <w:spacing w:line="240" w:lineRule="auto"/>
        <w:jc w:val="both"/>
        <w:rPr>
          <w:rFonts w:ascii="宋体" w:hAnsi="宋体" w:cs="仿宋"/>
          <w:color w:val="auto"/>
          <w:sz w:val="36"/>
          <w:szCs w:val="36"/>
          <w:highlight w:val="none"/>
        </w:rPr>
        <w:sectPr>
          <w:headerReference r:id="rId4" w:type="first"/>
          <w:footerReference r:id="rId6" w:type="first"/>
          <w:headerReference r:id="rId3" w:type="default"/>
          <w:footerReference r:id="rId5" w:type="default"/>
          <w:pgSz w:w="11906" w:h="16838"/>
          <w:pgMar w:top="1247" w:right="1228" w:bottom="909" w:left="1218" w:header="851" w:footer="907" w:gutter="0"/>
          <w:pgNumType w:start="1"/>
          <w:cols w:space="720" w:num="1"/>
          <w:titlePg/>
          <w:docGrid w:type="lines" w:linePitch="312" w:charSpace="0"/>
        </w:sectPr>
      </w:pPr>
      <w:bookmarkStart w:id="24" w:name="_Toc125344503"/>
    </w:p>
    <w:bookmarkEnd w:id="24"/>
    <w:p>
      <w:pPr>
        <w:pStyle w:val="3"/>
        <w:keepLines w:val="0"/>
        <w:widowControl/>
        <w:autoSpaceDE/>
        <w:autoSpaceDN/>
        <w:adjustRightInd/>
        <w:spacing w:before="240" w:after="60" w:line="240" w:lineRule="auto"/>
        <w:jc w:val="center"/>
        <w:rPr>
          <w:rFonts w:ascii="宋体" w:hAnsi="宋体"/>
          <w:color w:val="auto"/>
          <w:spacing w:val="-20"/>
          <w:kern w:val="28"/>
          <w:sz w:val="28"/>
          <w:szCs w:val="28"/>
          <w:highlight w:val="none"/>
        </w:rPr>
      </w:pPr>
      <w:bookmarkStart w:id="25" w:name="_Toc24120"/>
      <w:bookmarkStart w:id="26" w:name="_Toc10677"/>
      <w:bookmarkStart w:id="27" w:name="_Toc24515"/>
      <w:bookmarkStart w:id="28" w:name="_Toc519851257"/>
      <w:bookmarkStart w:id="29" w:name="_Toc11814"/>
      <w:r>
        <w:rPr>
          <w:rFonts w:hint="eastAsia" w:ascii="宋体" w:hAnsi="宋体"/>
          <w:color w:val="auto"/>
          <w:spacing w:val="-20"/>
          <w:kern w:val="28"/>
          <w:sz w:val="28"/>
          <w:szCs w:val="28"/>
          <w:highlight w:val="none"/>
        </w:rPr>
        <w:t>一、前附表</w:t>
      </w:r>
      <w:bookmarkEnd w:id="25"/>
      <w:bookmarkEnd w:id="26"/>
      <w:bookmarkEnd w:id="27"/>
      <w:bookmarkEnd w:id="28"/>
      <w:bookmarkEnd w:id="29"/>
    </w:p>
    <w:tbl>
      <w:tblPr>
        <w:tblStyle w:val="4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63"/>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34"/>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序号</w:t>
            </w:r>
          </w:p>
        </w:tc>
        <w:tc>
          <w:tcPr>
            <w:tcW w:w="8281" w:type="dxa"/>
            <w:gridSpan w:val="2"/>
            <w:vAlign w:val="center"/>
          </w:tcPr>
          <w:p>
            <w:pPr>
              <w:pStyle w:val="134"/>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p>
        </w:tc>
        <w:tc>
          <w:tcPr>
            <w:tcW w:w="763" w:type="dxa"/>
            <w:vAlign w:val="center"/>
          </w:tcPr>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综合说明</w:t>
            </w:r>
          </w:p>
        </w:tc>
        <w:tc>
          <w:tcPr>
            <w:tcW w:w="7518" w:type="dxa"/>
            <w:vAlign w:val="center"/>
          </w:tcPr>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绍兴轨道交通一号线柯桥段招商宣传及活动策划执行服务项目</w:t>
            </w:r>
          </w:p>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绍兴市柯桥区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w:t>
            </w:r>
          </w:p>
        </w:tc>
        <w:tc>
          <w:tcPr>
            <w:tcW w:w="8281" w:type="dxa"/>
            <w:gridSpan w:val="2"/>
            <w:vAlign w:val="center"/>
          </w:tcPr>
          <w:p>
            <w:pPr>
              <w:pStyle w:val="127"/>
              <w:spacing w:line="28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281" w:type="dxa"/>
            <w:gridSpan w:val="2"/>
            <w:vAlign w:val="center"/>
          </w:tcPr>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投标资格：</w:t>
            </w:r>
          </w:p>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281" w:type="dxa"/>
            <w:gridSpan w:val="2"/>
            <w:vAlign w:val="center"/>
          </w:tcPr>
          <w:p>
            <w:pPr>
              <w:pStyle w:val="12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0日历天数）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281" w:type="dxa"/>
            <w:gridSpan w:val="2"/>
            <w:vAlign w:val="center"/>
          </w:tcPr>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281" w:type="dxa"/>
            <w:gridSpan w:val="2"/>
            <w:vAlign w:val="center"/>
          </w:tcPr>
          <w:p>
            <w:pPr>
              <w:pStyle w:val="12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合同履约保证金金额为：/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281" w:type="dxa"/>
            <w:gridSpan w:val="2"/>
            <w:vAlign w:val="center"/>
          </w:tcPr>
          <w:p>
            <w:pPr>
              <w:pStyle w:val="12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现场考察：自行组织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81" w:type="dxa"/>
            <w:gridSpan w:val="2"/>
            <w:vAlign w:val="center"/>
          </w:tcPr>
          <w:p>
            <w:pPr>
              <w:spacing w:line="320" w:lineRule="exac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281" w:type="dxa"/>
            <w:gridSpan w:val="2"/>
            <w:vAlign w:val="center"/>
          </w:tcPr>
          <w:p>
            <w:pPr>
              <w:pStyle w:val="12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投标供应商提出问题的截止时间（投标提问书递交截止时间）：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6</w:t>
            </w:r>
            <w:r>
              <w:rPr>
                <w:rFonts w:hint="eastAsia" w:ascii="仿宋" w:hAnsi="仿宋" w:eastAsia="仿宋" w:cs="仿宋"/>
                <w:color w:val="auto"/>
                <w:sz w:val="24"/>
                <w:szCs w:val="24"/>
                <w:highlight w:val="none"/>
                <w:u w:val="single"/>
              </w:rPr>
              <w:t>日1</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：00</w:t>
            </w:r>
            <w:r>
              <w:rPr>
                <w:rFonts w:hint="eastAsia" w:ascii="仿宋" w:hAnsi="仿宋" w:eastAsia="仿宋" w:cs="仿宋"/>
                <w:color w:val="auto"/>
                <w:sz w:val="24"/>
                <w:szCs w:val="24"/>
                <w:highlight w:val="none"/>
              </w:rPr>
              <w:t>前以邮件形式向代理机构提交。注明：投标提问书中需写明投标供应商名称（盖公章）、联系人、联系电话。邮箱：</w:t>
            </w:r>
            <w:r>
              <w:rPr>
                <w:rFonts w:hint="eastAsia" w:ascii="仿宋" w:hAnsi="仿宋" w:eastAsia="仿宋" w:cs="仿宋"/>
                <w:color w:val="auto"/>
                <w:sz w:val="24"/>
                <w:szCs w:val="24"/>
                <w:highlight w:val="none"/>
                <w:lang w:val="en-US" w:eastAsia="zh-CN"/>
              </w:rPr>
              <w:t xml:space="preserve">527779517@qq.com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81" w:type="dxa"/>
            <w:gridSpan w:val="2"/>
            <w:vAlign w:val="center"/>
          </w:tcPr>
          <w:p>
            <w:pPr>
              <w:pStyle w:val="12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采购人澄清的时间（答疑回复截止时间）：如有答疑纪要，于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日1</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：00</w:t>
            </w:r>
            <w:r>
              <w:rPr>
                <w:rFonts w:hint="eastAsia" w:ascii="仿宋" w:hAnsi="仿宋" w:eastAsia="仿宋" w:cs="仿宋"/>
                <w:color w:val="auto"/>
                <w:sz w:val="24"/>
                <w:szCs w:val="24"/>
                <w:highlight w:val="none"/>
              </w:rPr>
              <w:t>前以电子邮件形式发至各潜在投标人报名时所留电子邮箱，请投标单位自行检查，并认为各投标单位对答疑纪要中的内容已知悉，不再另行通知。答疑回复截止时间后邮箱中无答疑纪要的，则本项目无答疑。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81" w:type="dxa"/>
            <w:gridSpan w:val="2"/>
            <w:vAlign w:val="center"/>
          </w:tcPr>
          <w:p>
            <w:pPr>
              <w:widowControl/>
              <w:overflowPunct w:val="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投标文件份数：商务技术标一式5份，其中正本1份，副本4份；</w:t>
            </w:r>
          </w:p>
          <w:p>
            <w:pPr>
              <w:widowControl/>
              <w:overflowPunct w:val="0"/>
              <w:ind w:firstLine="1680" w:firstLineChars="7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价格标一式5份，其中正本1份，副本4份；</w:t>
            </w:r>
          </w:p>
          <w:p>
            <w:pPr>
              <w:widowControl/>
              <w:overflowPunct w:val="0"/>
              <w:ind w:firstLine="1680" w:firstLineChars="7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资格证明文件一式5份，其中正本1份，副本4份；</w:t>
            </w:r>
          </w:p>
          <w:p>
            <w:pPr>
              <w:autoSpaceDE/>
              <w:autoSpaceDN/>
              <w:adjustRightInd/>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投标文件送达方式及地址：投标人应于202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日下午16时00时整之前将投标文件密封以邮寄(建议采用EMS或顺丰)的方式送达至</w:t>
            </w:r>
            <w:r>
              <w:rPr>
                <w:rFonts w:hint="eastAsia" w:ascii="仿宋" w:hAnsi="仿宋" w:eastAsia="仿宋" w:cs="仿宋"/>
                <w:color w:val="auto"/>
                <w:sz w:val="24"/>
                <w:szCs w:val="24"/>
                <w:highlight w:val="none"/>
                <w:lang w:val="en-US" w:eastAsia="zh-CN"/>
              </w:rPr>
              <w:t>浙江中兴工程项目管理有限公司</w:t>
            </w:r>
            <w:r>
              <w:rPr>
                <w:rFonts w:hint="eastAsia" w:ascii="仿宋" w:hAnsi="仿宋" w:eastAsia="仿宋" w:cs="仿宋"/>
                <w:color w:val="auto"/>
                <w:sz w:val="24"/>
                <w:szCs w:val="24"/>
                <w:highlight w:val="none"/>
              </w:rPr>
              <w:t>（绍兴市</w:t>
            </w:r>
            <w:r>
              <w:rPr>
                <w:rFonts w:hint="eastAsia" w:ascii="仿宋" w:hAnsi="仿宋" w:eastAsia="仿宋" w:cs="仿宋"/>
                <w:color w:val="auto"/>
                <w:sz w:val="24"/>
                <w:szCs w:val="24"/>
                <w:highlight w:val="none"/>
                <w:lang w:val="en-US" w:eastAsia="zh-CN"/>
              </w:rPr>
              <w:t>越城区风林西路172号亿兆大厦1303室</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lang w:val="en-US" w:eastAsia="zh-CN"/>
              </w:rPr>
              <w:t>沈亚菲</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 xml:space="preserve">15158265756 </w:t>
            </w:r>
            <w:r>
              <w:rPr>
                <w:rFonts w:hint="eastAsia" w:ascii="仿宋" w:hAnsi="仿宋" w:eastAsia="仿宋" w:cs="仿宋"/>
                <w:color w:val="auto"/>
                <w:sz w:val="24"/>
                <w:szCs w:val="24"/>
                <w:highlight w:val="none"/>
              </w:rPr>
              <w:t>，邮政编码:3120</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，请寄件人在邮件外包装注明投标项目名称，投标供应商名称，被授权人姓名及联系电话, 邮寄以签收时间为准， 逾期送达或未按照招标文件要求密封将予以拒收（或作无效标处理）。</w:t>
            </w:r>
          </w:p>
          <w:p>
            <w:pPr>
              <w:widowControl/>
              <w:autoSpaceDE/>
              <w:autoSpaceDN/>
              <w:adjustRightInd/>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②也可现场递交标书，投标人应于202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0分整之前将投标文件送达至</w:t>
            </w:r>
            <w:r>
              <w:rPr>
                <w:rFonts w:hint="eastAsia" w:ascii="仿宋" w:hAnsi="仿宋" w:eastAsia="仿宋"/>
                <w:color w:val="auto"/>
                <w:sz w:val="24"/>
                <w:szCs w:val="28"/>
                <w:highlight w:val="none"/>
                <w:u w:val="single"/>
              </w:rPr>
              <w:t>绍兴市柯桥区钱清街道万绣路车辆基地培训中心12</w:t>
            </w:r>
            <w:r>
              <w:rPr>
                <w:rFonts w:hint="eastAsia" w:ascii="仿宋" w:hAnsi="仿宋" w:eastAsia="仿宋"/>
                <w:color w:val="auto"/>
                <w:sz w:val="24"/>
                <w:szCs w:val="28"/>
                <w:highlight w:val="none"/>
                <w:u w:val="single"/>
                <w:lang w:val="en-US" w:eastAsia="zh-CN"/>
              </w:rPr>
              <w:t>16室</w:t>
            </w:r>
            <w:r>
              <w:rPr>
                <w:rFonts w:hint="eastAsia" w:ascii="仿宋" w:hAnsi="仿宋" w:eastAsia="仿宋" w:cs="仿宋"/>
                <w:color w:val="auto"/>
                <w:sz w:val="24"/>
                <w:szCs w:val="24"/>
                <w:highlight w:val="none"/>
              </w:rPr>
              <w:t>，现场递交，应即交即走。</w:t>
            </w:r>
          </w:p>
          <w:p>
            <w:pPr>
              <w:pStyle w:val="127"/>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③招标人对邮寄过程中发生的遗失或损坏不负责任。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81" w:type="dxa"/>
            <w:gridSpan w:val="2"/>
            <w:vAlign w:val="center"/>
          </w:tcPr>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午</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时</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0分</w:t>
            </w:r>
          </w:p>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olor w:val="auto"/>
                <w:sz w:val="24"/>
                <w:szCs w:val="28"/>
                <w:highlight w:val="none"/>
                <w:u w:val="single"/>
              </w:rPr>
              <w:t>绍兴市柯桥区钱清街道万绣路车辆基地培训中心12</w:t>
            </w:r>
            <w:r>
              <w:rPr>
                <w:rFonts w:hint="eastAsia" w:ascii="仿宋" w:hAnsi="仿宋" w:eastAsia="仿宋"/>
                <w:color w:val="auto"/>
                <w:sz w:val="24"/>
                <w:szCs w:val="28"/>
                <w:highlight w:val="none"/>
                <w:u w:val="single"/>
                <w:lang w:val="en-US" w:eastAsia="zh-CN"/>
              </w:rPr>
              <w:t>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pStyle w:val="1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281" w:type="dxa"/>
            <w:gridSpan w:val="2"/>
            <w:vAlign w:val="center"/>
          </w:tcPr>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解释：凡涉及本次招标文件的解释权属于采购人。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pStyle w:val="12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8281" w:type="dxa"/>
            <w:gridSpan w:val="2"/>
            <w:vAlign w:val="center"/>
          </w:tcPr>
          <w:p>
            <w:pPr>
              <w:pStyle w:val="127"/>
              <w:spacing w:line="280" w:lineRule="exact"/>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本项目设上限价，本次招标的上限价为</w:t>
            </w:r>
            <w:r>
              <w:rPr>
                <w:rFonts w:hint="eastAsia" w:ascii="仿宋" w:hAnsi="仿宋" w:eastAsia="仿宋" w:cs="仿宋"/>
                <w:b/>
                <w:color w:val="auto"/>
                <w:sz w:val="24"/>
                <w:szCs w:val="24"/>
                <w:highlight w:val="none"/>
                <w:u w:val="single"/>
                <w:lang w:val="en-US" w:eastAsia="zh-CN"/>
              </w:rPr>
              <w:t>24.6</w:t>
            </w:r>
            <w:r>
              <w:rPr>
                <w:rFonts w:hint="eastAsia" w:ascii="仿宋" w:hAnsi="仿宋" w:eastAsia="仿宋" w:cs="仿宋"/>
                <w:b/>
                <w:color w:val="auto"/>
                <w:sz w:val="24"/>
                <w:szCs w:val="24"/>
                <w:highlight w:val="none"/>
              </w:rPr>
              <w:t>万元。超过上限价的，作无效标处理。</w:t>
            </w:r>
          </w:p>
        </w:tc>
      </w:tr>
    </w:tbl>
    <w:p>
      <w:pPr>
        <w:widowControl/>
        <w:autoSpaceDE/>
        <w:autoSpaceDN/>
        <w:adjustRightInd/>
        <w:jc w:val="left"/>
        <w:rPr>
          <w:rFonts w:ascii="宋体" w:hAnsi="宋体"/>
          <w:b/>
          <w:color w:val="auto"/>
          <w:kern w:val="44"/>
          <w:sz w:val="28"/>
          <w:szCs w:val="28"/>
          <w:highlight w:val="none"/>
        </w:rPr>
      </w:pPr>
      <w:bookmarkStart w:id="30" w:name="_Toc519851258"/>
      <w:bookmarkStart w:id="31" w:name="_Toc125344507"/>
      <w:bookmarkStart w:id="32" w:name="_Toc24532"/>
      <w:r>
        <w:rPr>
          <w:rFonts w:ascii="宋体" w:hAnsi="宋体"/>
          <w:color w:val="auto"/>
          <w:sz w:val="28"/>
          <w:szCs w:val="28"/>
          <w:highlight w:val="none"/>
        </w:rPr>
        <w:br w:type="page"/>
      </w:r>
    </w:p>
    <w:p>
      <w:pPr>
        <w:pStyle w:val="3"/>
        <w:spacing w:before="0" w:after="0" w:line="440" w:lineRule="exact"/>
        <w:jc w:val="center"/>
        <w:rPr>
          <w:rFonts w:ascii="宋体" w:hAnsi="宋体"/>
          <w:color w:val="auto"/>
          <w:sz w:val="28"/>
          <w:szCs w:val="28"/>
          <w:highlight w:val="none"/>
        </w:rPr>
      </w:pPr>
      <w:bookmarkStart w:id="33" w:name="_Toc25866"/>
      <w:bookmarkStart w:id="34" w:name="_Toc10099"/>
      <w:r>
        <w:rPr>
          <w:rFonts w:hint="eastAsia" w:ascii="宋体" w:hAnsi="宋体"/>
          <w:color w:val="auto"/>
          <w:sz w:val="28"/>
          <w:szCs w:val="28"/>
          <w:highlight w:val="none"/>
        </w:rPr>
        <w:t>二、投标供应商须知</w:t>
      </w:r>
      <w:bookmarkEnd w:id="30"/>
      <w:bookmarkEnd w:id="33"/>
      <w:bookmarkEnd w:id="34"/>
    </w:p>
    <w:p>
      <w:pPr>
        <w:spacing w:line="440" w:lineRule="exact"/>
        <w:jc w:val="center"/>
        <w:rPr>
          <w:rFonts w:ascii="宋体" w:hAnsi="宋体"/>
          <w:color w:val="auto"/>
          <w:sz w:val="24"/>
          <w:highlight w:val="none"/>
        </w:rPr>
      </w:pPr>
    </w:p>
    <w:p>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2.1采购方式：公开招标采购。</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2.2合格的投标供应商</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凡符合前附表第3项要求，有生产（或供应）、服务能力的供应商（实行生产许可证制度的须持有生产许可证），在国内注册的外国独资或中外合资、合作企业，符合并承认和履行招标文件中的各项规定者，均可参加投标。</w:t>
      </w:r>
    </w:p>
    <w:p>
      <w:pPr>
        <w:spacing w:line="44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2.3联合投标</w:t>
      </w:r>
    </w:p>
    <w:p>
      <w:pPr>
        <w:pStyle w:val="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不接受联合体投标。</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2.4招标文件的澄清（答疑）</w:t>
      </w:r>
    </w:p>
    <w:p>
      <w:pPr>
        <w:pStyle w:val="23"/>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获得招标文件后，若有问题需要澄清，应按前附表时间要求将疑问以书面形式（可传真）及用电子文档发邮件给招标代理机构，采购人将在答疑会上对提出的问题予以解答，答复将以书面形式（传真）发送给所有获得招标文件的供应商，</w:t>
      </w:r>
      <w:r>
        <w:rPr>
          <w:rFonts w:hint="eastAsia" w:ascii="仿宋" w:hAnsi="仿宋" w:eastAsia="仿宋" w:cs="仿宋"/>
          <w:b/>
          <w:color w:val="auto"/>
          <w:sz w:val="24"/>
          <w:szCs w:val="24"/>
          <w:highlight w:val="none"/>
        </w:rPr>
        <w:t>供应商收到答疑纪要后，应及时把回执确认书（须盖公章）回执给招标代理机构，不及时回执的可视为自动放弃投标。</w:t>
      </w:r>
      <w:r>
        <w:rPr>
          <w:rFonts w:hint="eastAsia" w:ascii="仿宋" w:hAnsi="仿宋" w:eastAsia="仿宋" w:cs="仿宋"/>
          <w:b/>
          <w:color w:val="auto"/>
          <w:sz w:val="24"/>
          <w:szCs w:val="24"/>
          <w:highlight w:val="none"/>
          <w:lang w:val="en-US" w:eastAsia="zh-CN"/>
        </w:rPr>
        <w:t>15158265756</w:t>
      </w:r>
      <w:r>
        <w:rPr>
          <w:rFonts w:hint="eastAsia" w:ascii="仿宋" w:hAnsi="仿宋" w:eastAsia="仿宋" w:cs="仿宋"/>
          <w:b/>
          <w:color w:val="auto"/>
          <w:sz w:val="24"/>
          <w:szCs w:val="24"/>
          <w:highlight w:val="none"/>
        </w:rPr>
        <w:t>， E-mail：</w:t>
      </w:r>
      <w:r>
        <w:rPr>
          <w:rFonts w:hint="eastAsia" w:ascii="仿宋" w:hAnsi="仿宋" w:eastAsia="仿宋" w:cs="仿宋"/>
          <w:b/>
          <w:color w:val="auto"/>
          <w:sz w:val="24"/>
          <w:szCs w:val="24"/>
          <w:highlight w:val="none"/>
          <w:lang w:val="en-US" w:eastAsia="zh-CN"/>
        </w:rPr>
        <w:t>527779517</w:t>
      </w:r>
      <w:r>
        <w:rPr>
          <w:rFonts w:hint="eastAsia" w:ascii="仿宋" w:hAnsi="仿宋" w:eastAsia="仿宋" w:cs="仿宋"/>
          <w:b/>
          <w:color w:val="auto"/>
          <w:sz w:val="24"/>
          <w:szCs w:val="24"/>
          <w:highlight w:val="none"/>
        </w:rPr>
        <w:t>@qq.com。</w:t>
      </w:r>
    </w:p>
    <w:p>
      <w:pPr>
        <w:pStyle w:val="23"/>
        <w:spacing w:line="44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2.5招标文件的修改、补充</w:t>
      </w:r>
    </w:p>
    <w:p>
      <w:pPr>
        <w:pStyle w:val="23"/>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2.5.1在投标截止时间前，采购人可以补充通知的方式修改或补充招标文件。</w:t>
      </w:r>
    </w:p>
    <w:p>
      <w:pPr>
        <w:pStyle w:val="23"/>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2.5.2修改或补充通知将以书面形式发给所有获得招标文件的投标供应商，修改或补充通知作为招标文件的组成部分，对各投标供应商起同等约束作用。</w:t>
      </w:r>
    </w:p>
    <w:p>
      <w:pPr>
        <w:pStyle w:val="23"/>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2.5.3为使投标供应商在编制投标文件时把修改或补充通知内容考虑进去，采购人可以酌情延长递交投标文件的截止时间。</w:t>
      </w:r>
    </w:p>
    <w:p>
      <w:pPr>
        <w:pStyle w:val="23"/>
        <w:spacing w:line="44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2.6现场勘察</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2.6.1为使投标供应商对</w:t>
      </w:r>
      <w:r>
        <w:rPr>
          <w:rFonts w:hint="eastAsia" w:ascii="仿宋" w:hAnsi="仿宋" w:eastAsia="仿宋" w:cs="仿宋"/>
          <w:bCs/>
          <w:color w:val="auto"/>
          <w:sz w:val="24"/>
          <w:szCs w:val="24"/>
          <w:highlight w:val="none"/>
        </w:rPr>
        <w:t>本采购项目</w:t>
      </w:r>
      <w:r>
        <w:rPr>
          <w:rFonts w:hint="eastAsia" w:ascii="仿宋" w:hAnsi="仿宋" w:eastAsia="仿宋" w:cs="仿宋"/>
          <w:color w:val="auto"/>
          <w:sz w:val="24"/>
          <w:szCs w:val="24"/>
          <w:highlight w:val="none"/>
        </w:rPr>
        <w:t>情况有所了解，投标供应商在投标前自行组织对项目所在场地及周围环境进行现场勘察，以便获取由投标供应商自行负责编制投标文件和签订合同所需的一切资料。现场勘察所发生的费用由投标供应商自行承担。</w:t>
      </w:r>
    </w:p>
    <w:p>
      <w:pPr>
        <w:pStyle w:val="23"/>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2.6.2现场勘察完毕，将认为投标供应商已了解现场情况，并充分理解了为之所承担的风险、义务和责任。</w:t>
      </w:r>
    </w:p>
    <w:p>
      <w:pPr>
        <w:pStyle w:val="23"/>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2.6.3在现场勘察过程中，投标供应商应承担在此期间所造成的人身伤害、财产损失或损坏的责任，无论何种原因所造成，采购人均不负责，如由此导致采购人承担责任的，采购人有权向该投标供应商行使追偿权。</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2.7招标文件作为报价、评标、定标、签订供货（含安装）合同的依据。如有异议，应在招标答疑时提出。否则，将视作认同。</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投标供应商应认真阅读招标文件中所有的事项、格式、条款和规范等要求。如果没有按照招标文件要求提交全部资料或者投标文件，没有对招标文件做出实质性影响，该投标有可能被拒绝，其风险应由投标供应商自行承担。</w:t>
      </w:r>
    </w:p>
    <w:p>
      <w:pPr>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 投标文件的组成与编制</w:t>
      </w:r>
    </w:p>
    <w:p>
      <w:pPr>
        <w:spacing w:line="440" w:lineRule="exact"/>
        <w:ind w:firstLine="470" w:firstLineChars="196"/>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投标供应商应将投标文件装订成册，</w:t>
      </w:r>
      <w:r>
        <w:rPr>
          <w:rFonts w:hint="eastAsia" w:ascii="仿宋" w:hAnsi="仿宋" w:eastAsia="仿宋" w:cs="仿宋"/>
          <w:color w:val="auto"/>
          <w:sz w:val="24"/>
          <w:szCs w:val="24"/>
          <w:highlight w:val="none"/>
          <w:u w:val="single"/>
        </w:rPr>
        <w:t>投标文件由资格（资信）证明文件、商务技术标、价格标共三部分组成</w:t>
      </w:r>
      <w:r>
        <w:rPr>
          <w:rFonts w:hint="eastAsia" w:ascii="仿宋" w:hAnsi="仿宋" w:eastAsia="仿宋" w:cs="仿宋"/>
          <w:color w:val="auto"/>
          <w:sz w:val="24"/>
          <w:szCs w:val="24"/>
          <w:highlight w:val="none"/>
        </w:rPr>
        <w:t>。上述投标文件的各部分应装订成册分别单独封装，资格（资信）证明文件按第</w:t>
      </w:r>
      <w:r>
        <w:rPr>
          <w:rFonts w:hint="eastAsia" w:ascii="仿宋" w:hAnsi="仿宋" w:eastAsia="仿宋" w:cs="仿宋"/>
          <w:color w:val="auto"/>
          <w:sz w:val="24"/>
          <w:szCs w:val="24"/>
          <w:highlight w:val="none"/>
          <w:lang w:val="en-US" w:eastAsia="zh-CN"/>
        </w:rPr>
        <w:t>十二部分</w:t>
      </w:r>
      <w:r>
        <w:rPr>
          <w:rFonts w:hint="eastAsia" w:ascii="仿宋" w:hAnsi="仿宋" w:eastAsia="仿宋" w:cs="仿宋"/>
          <w:color w:val="auto"/>
          <w:sz w:val="24"/>
          <w:szCs w:val="24"/>
          <w:highlight w:val="none"/>
        </w:rPr>
        <w:t>顺序编制，其他应包括下列内容并按以下顺序编制：</w:t>
      </w:r>
    </w:p>
    <w:p>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2.9.1商务技术标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格式详见第十二部分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2.9.1.1</w:t>
      </w:r>
      <w:r>
        <w:rPr>
          <w:rFonts w:hint="eastAsia" w:ascii="仿宋" w:hAnsi="仿宋" w:eastAsia="仿宋" w:cs="仿宋_GB2312"/>
          <w:snapToGrid w:val="0"/>
          <w:color w:val="auto"/>
          <w:kern w:val="0"/>
          <w:sz w:val="24"/>
          <w:szCs w:val="21"/>
          <w:highlight w:val="none"/>
          <w:lang w:val="zh-CN"/>
        </w:rPr>
        <w:t>评分对应表；如果本项目评标办法采用</w:t>
      </w:r>
      <w:r>
        <w:rPr>
          <w:rFonts w:hint="eastAsia" w:ascii="仿宋" w:hAnsi="仿宋" w:eastAsia="仿宋" w:cs="仿宋_GB2312"/>
          <w:b/>
          <w:snapToGrid w:val="0"/>
          <w:color w:val="auto"/>
          <w:kern w:val="0"/>
          <w:sz w:val="24"/>
          <w:szCs w:val="21"/>
          <w:highlight w:val="none"/>
          <w:lang w:val="zh-CN"/>
        </w:rPr>
        <w:t>综合评审法</w:t>
      </w:r>
      <w:r>
        <w:rPr>
          <w:rFonts w:hint="eastAsia" w:ascii="仿宋" w:hAnsi="仿宋" w:eastAsia="仿宋" w:cs="仿宋_GB2312"/>
          <w:snapToGrid w:val="0"/>
          <w:color w:val="auto"/>
          <w:kern w:val="0"/>
          <w:sz w:val="24"/>
          <w:szCs w:val="21"/>
          <w:highlight w:val="none"/>
          <w:lang w:val="zh-CN"/>
        </w:rPr>
        <w:t>，投标人需在商务技术文件中提供此评分对应表，供评标委员会评审时使用。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lang w:val="zh-CN"/>
        </w:rPr>
        <w:t>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lang w:val="zh-CN"/>
        </w:rPr>
        <w:t>商务响应表；</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sz w:val="24"/>
          <w:highlight w:val="none"/>
        </w:rPr>
        <w:t>.4</w:t>
      </w:r>
      <w:r>
        <w:rPr>
          <w:rFonts w:hint="eastAsia" w:ascii="仿宋" w:hAnsi="仿宋" w:eastAsia="仿宋" w:cs="仿宋_GB2312"/>
          <w:color w:val="auto"/>
          <w:kern w:val="0"/>
          <w:sz w:val="24"/>
          <w:highlight w:val="none"/>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lang w:val="zh-CN"/>
        </w:rPr>
        <w:t>项目负责人情况表；</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lang w:val="zh-CN"/>
        </w:rPr>
        <w:t>项目组人员名单；</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7</w:t>
      </w:r>
      <w:r>
        <w:rPr>
          <w:rFonts w:hint="eastAsia" w:ascii="仿宋" w:hAnsi="仿宋" w:eastAsia="仿宋" w:cs="仿宋_GB2312"/>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8</w:t>
      </w:r>
      <w:r>
        <w:rPr>
          <w:rFonts w:hint="eastAsia" w:ascii="仿宋" w:hAnsi="仿宋" w:eastAsia="仿宋" w:cs="仿宋_GB2312"/>
          <w:color w:val="auto"/>
          <w:kern w:val="0"/>
          <w:sz w:val="24"/>
          <w:highlight w:val="none"/>
          <w:lang w:val="zh-CN"/>
        </w:rPr>
        <w:t>优惠条件及特殊承诺（如有）；</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lang w:val="en-US" w:eastAsia="zh-CN"/>
        </w:rPr>
        <w:t>2.9.1</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9</w:t>
      </w:r>
      <w:r>
        <w:rPr>
          <w:rFonts w:hint="eastAsia" w:ascii="仿宋" w:hAnsi="仿宋" w:eastAsia="仿宋" w:cs="仿宋_GB2312"/>
          <w:color w:val="auto"/>
          <w:kern w:val="0"/>
          <w:sz w:val="24"/>
          <w:highlight w:val="none"/>
          <w:lang w:val="zh-CN"/>
        </w:rPr>
        <w:t>投标人认为需要的其他商务技术文件或说明（可按照评分标准要求制作）</w:t>
      </w:r>
      <w:r>
        <w:rPr>
          <w:rFonts w:hint="eastAsia" w:ascii="仿宋" w:hAnsi="仿宋" w:eastAsia="仿宋" w:cs="仿宋_GB2312"/>
          <w:snapToGrid w:val="0"/>
          <w:color w:val="auto"/>
          <w:kern w:val="0"/>
          <w:sz w:val="24"/>
          <w:highlight w:val="none"/>
          <w:lang w:val="zh-CN"/>
        </w:rPr>
        <w:t>。</w:t>
      </w:r>
    </w:p>
    <w:p>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2.9.2价格标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格式详见第十二部分</w:t>
      </w:r>
      <w:r>
        <w:rPr>
          <w:rFonts w:hint="eastAsia" w:ascii="仿宋" w:hAnsi="仿宋" w:eastAsia="仿宋" w:cs="仿宋"/>
          <w:color w:val="auto"/>
          <w:sz w:val="24"/>
          <w:highlight w:val="none"/>
        </w:rPr>
        <w:t>）</w:t>
      </w:r>
    </w:p>
    <w:p>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2.9.2.1投标（开标）一览表；</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2.10投标供应商必须使用招标文件提供的表格格式，但表格可以按同样格式扩展（见附件及附表）。招标文件中未提供的表格格式，投标供应商可以自拟。</w:t>
      </w:r>
    </w:p>
    <w:p>
      <w:pPr>
        <w:pStyle w:val="23"/>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2.11</w:t>
      </w:r>
      <w:r>
        <w:rPr>
          <w:rFonts w:hint="eastAsia" w:ascii="仿宋" w:hAnsi="仿宋" w:eastAsia="仿宋" w:cs="仿宋"/>
          <w:color w:val="auto"/>
          <w:sz w:val="24"/>
          <w:szCs w:val="24"/>
          <w:highlight w:val="none"/>
        </w:rPr>
        <w:t>投标供应商必须递交书面售后服务承诺。投标供应商应以书面形式完整、准确地表述投标供应商的标准售后服务承诺（范围、标准及期限等）。服务承诺如有前提设定的，应明示，否则将被认为是无条件的；服务如涉及费用，也应明示，否则将被认为是免费的。</w:t>
      </w:r>
    </w:p>
    <w:p>
      <w:pPr>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2.12投标文件的份数与正副本</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2.12.1投标文件的份数要求详见前附表。正本、副本文件须加盖投标供应商公章。</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2.12.2正本、副本如有不一致之处，以正本为准。投标文件的修改部分应加盖投标供应商公章。</w:t>
      </w:r>
    </w:p>
    <w:p>
      <w:pPr>
        <w:pStyle w:val="23"/>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2.13投标文件的密封</w:t>
      </w:r>
    </w:p>
    <w:p>
      <w:pPr>
        <w:pStyle w:val="23"/>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2.13.1投标供应商应将投标文件的</w:t>
      </w:r>
      <w:r>
        <w:rPr>
          <w:rFonts w:hint="eastAsia" w:ascii="仿宋" w:hAnsi="仿宋" w:eastAsia="仿宋" w:cs="仿宋"/>
          <w:b/>
          <w:color w:val="auto"/>
          <w:sz w:val="24"/>
          <w:szCs w:val="24"/>
          <w:highlight w:val="none"/>
          <w:u w:val="single"/>
        </w:rPr>
        <w:t>商务技术标、价格标、资格（资信）证明文件分别用独立的信封密封，且在信封上标明“商务技术标”、“价格标”、“资格（资信）证明文件”的字样。</w:t>
      </w:r>
      <w:r>
        <w:rPr>
          <w:rFonts w:hint="eastAsia" w:ascii="仿宋" w:hAnsi="仿宋" w:eastAsia="仿宋" w:cs="仿宋"/>
          <w:b/>
          <w:color w:val="auto"/>
          <w:sz w:val="24"/>
          <w:szCs w:val="24"/>
          <w:highlight w:val="none"/>
        </w:rPr>
        <w:t>密封口应加盖投标供应商公章。</w:t>
      </w:r>
    </w:p>
    <w:p>
      <w:pPr>
        <w:pStyle w:val="23"/>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2.13.2未按本须知密封、标记和投递的投标文件，采购人不对其后果负责。</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密封投标文件是投标供应商向采购人提供的最终文件，投标截止后不再接收补充文件。评标委员会认为必要的询标不包括对投标供应商遗漏文件的索要。</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2.15采购人在投标截止时间以后收到的任何投标文件，将予以拒绝，并原封退回投标供应商。</w:t>
      </w:r>
    </w:p>
    <w:p>
      <w:pPr>
        <w:pStyle w:val="23"/>
        <w:spacing w:line="44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2.16投标文件有效期</w:t>
      </w:r>
    </w:p>
    <w:p>
      <w:pPr>
        <w:pStyle w:val="2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2.16.1投标文件有效期自投标截止日期起</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0日内有效。</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2.16.2在原定投标有效期满之前，如果出现特殊情况，经招标管理机构核准，采购人可以用书面形式向投标供应商提出延长有效期的要求。投标供应商需以书面形式予以答复。</w:t>
      </w:r>
    </w:p>
    <w:p>
      <w:pPr>
        <w:pStyle w:val="23"/>
        <w:spacing w:line="44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2.17投标文件的修改与撤回</w:t>
      </w:r>
    </w:p>
    <w:p>
      <w:pPr>
        <w:pStyle w:val="23"/>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2.17.1投标供应商递交标书以后，可以在投标截止时间前，修改或撤回其标书。但这种修改与撤回，须以书面形式在规定的投标截止时间前将通知送达采购人。</w:t>
      </w:r>
    </w:p>
    <w:p>
      <w:pPr>
        <w:pStyle w:val="23"/>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2.17.2在投标文件递交截止时间后，不能更改投标文件。</w:t>
      </w:r>
      <w:r>
        <w:rPr>
          <w:rFonts w:hint="eastAsia" w:ascii="仿宋" w:hAnsi="仿宋" w:eastAsia="仿宋" w:cs="仿宋"/>
          <w:color w:val="auto"/>
          <w:highlight w:val="none"/>
        </w:rPr>
        <w:cr/>
      </w:r>
      <w:r>
        <w:rPr>
          <w:rFonts w:hint="eastAsia" w:ascii="仿宋" w:hAnsi="仿宋" w:eastAsia="仿宋" w:cs="仿宋"/>
          <w:color w:val="auto"/>
          <w:highlight w:val="none"/>
        </w:rPr>
        <w:t xml:space="preserve">    2.17.3在投标截止时间起至标书中规定的投标有效日期终止日之间的这段时间内，投标供应商不能撤回标书。</w:t>
      </w:r>
    </w:p>
    <w:p>
      <w:pPr>
        <w:pStyle w:val="23"/>
        <w:spacing w:line="44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2.18投标文件的澄清</w:t>
      </w:r>
    </w:p>
    <w:p>
      <w:pPr>
        <w:pStyle w:val="23"/>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2.18.1为了有助于投标文件的审查、评价和比较，评标委员会可以个别地要求投标供应商澄清其投标文件，包括单价分析表，但不接受投标供应商任何主动的澄清、说明或辩解。有关澄清的答复，</w:t>
      </w:r>
      <w:r>
        <w:rPr>
          <w:rFonts w:hint="eastAsia" w:ascii="仿宋" w:hAnsi="仿宋" w:eastAsia="仿宋" w:cs="仿宋"/>
          <w:color w:val="auto"/>
          <w:szCs w:val="24"/>
          <w:highlight w:val="none"/>
        </w:rPr>
        <w:t>应在（30分钟内）通过电子邮件等书面形式进行并应有法定代表人或其委托代理人的签字或盖章，但不允许更改投标文件中的价格或实质性内容。</w:t>
      </w:r>
    </w:p>
    <w:p>
      <w:pPr>
        <w:pStyle w:val="2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2.18.2投标供应商的澄清文件是投标文件的组成部分，并替代投标文件中被澄清的部分。</w:t>
      </w:r>
    </w:p>
    <w:p>
      <w:pPr>
        <w:pStyle w:val="23"/>
        <w:spacing w:line="44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2.19投标文件符合性的确定</w:t>
      </w:r>
    </w:p>
    <w:p>
      <w:pPr>
        <w:pStyle w:val="23"/>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2.19.1实质上符合要求的投标文件，应该与招标文件的全部条款、条件和规范相符，无重大差异或保留。所谓重大差异或保留是指对采购项目（工程）的范围、质量、工程的实施与运用产生重大的影响，并对其他按合理价格提交了实质上符合要求的投标文件的投标供应商的竞争地位，产生不公正的影响。</w:t>
      </w:r>
    </w:p>
    <w:p>
      <w:pPr>
        <w:pStyle w:val="2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2.19.2如果投标文件实质上不符合招标文件的要求，其投标文件将被予以拒绝，并且不允许投标供应商通过修正或撤消其重大差异或保留使之符合要求。</w:t>
      </w:r>
    </w:p>
    <w:p>
      <w:pPr>
        <w:pStyle w:val="23"/>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2.20错误的修正</w:t>
      </w:r>
    </w:p>
    <w:p>
      <w:pPr>
        <w:pStyle w:val="23"/>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2.20.1评标委员会应对确定为实质上符合要求的投标文件进行校核，看其是否有计算上或累计上的算术错误，修正此类错误的原则如下：</w:t>
      </w:r>
    </w:p>
    <w:p>
      <w:pPr>
        <w:pStyle w:val="2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2.20.1.1同一产品出现两种以上不同价格时，取其低的报价核算；</w:t>
      </w:r>
    </w:p>
    <w:p>
      <w:pPr>
        <w:pStyle w:val="2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2.20.1.2如果用数字表示的数额与用文字表示的数额不一致时，以文字数额为准。</w:t>
      </w:r>
    </w:p>
    <w:p>
      <w:pPr>
        <w:pStyle w:val="2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2.20.1.3当单价与数量的乘积之总和同总额之间不一致时，应以标出的单价为准，除非评标委员会认为单价有明显的小数点错误，此时应以标出的总额为准，并修改单价。</w:t>
      </w:r>
    </w:p>
    <w:p>
      <w:pPr>
        <w:pStyle w:val="2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2.20.1.4投标文件报价，正本与副本不符不一致的以正本为准；投标函的报价与报价单的报价不一致的以报价单为准；大写与小写不一致的以大写为准。</w:t>
      </w:r>
    </w:p>
    <w:p>
      <w:pPr>
        <w:pStyle w:val="23"/>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2.20.2按以上原则进行错误修正，调整投标文件的投标报价，经投标投标供应商确认后，调整后的投标报价对投标投标供应商起约束作用。</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2.21投标费用</w:t>
      </w:r>
    </w:p>
    <w:p>
      <w:pPr>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投标供应商应自行承担所有与编写和提交投标文件有关的费用，不论投标的结果如何，采购人在任何情况下均无义务和责任承担这些费用。</w:t>
      </w:r>
    </w:p>
    <w:p>
      <w:pPr>
        <w:spacing w:line="440" w:lineRule="exact"/>
        <w:rPr>
          <w:rFonts w:ascii="宋体" w:hAnsi="宋体"/>
          <w:color w:val="auto"/>
          <w:sz w:val="24"/>
          <w:highlight w:val="none"/>
        </w:rPr>
      </w:pPr>
    </w:p>
    <w:p>
      <w:pPr>
        <w:pStyle w:val="3"/>
        <w:spacing w:before="0" w:after="0" w:line="440" w:lineRule="exact"/>
        <w:jc w:val="center"/>
        <w:rPr>
          <w:rFonts w:ascii="宋体" w:hAnsi="宋体"/>
          <w:color w:val="auto"/>
          <w:sz w:val="28"/>
          <w:szCs w:val="28"/>
          <w:highlight w:val="none"/>
        </w:rPr>
      </w:pPr>
      <w:bookmarkStart w:id="35" w:name="_Toc10683"/>
      <w:bookmarkStart w:id="36" w:name="_Toc519851259"/>
      <w:bookmarkStart w:id="37" w:name="_Toc25814"/>
      <w:r>
        <w:rPr>
          <w:rFonts w:hint="eastAsia" w:ascii="宋体" w:hAnsi="宋体"/>
          <w:color w:val="auto"/>
          <w:sz w:val="28"/>
          <w:szCs w:val="28"/>
          <w:highlight w:val="none"/>
        </w:rPr>
        <w:t>三、投标供应商应当提交的资格（资信）证明文件</w:t>
      </w:r>
      <w:bookmarkEnd w:id="35"/>
      <w:bookmarkEnd w:id="36"/>
      <w:bookmarkEnd w:id="37"/>
    </w:p>
    <w:p>
      <w:pPr>
        <w:spacing w:line="440" w:lineRule="exact"/>
        <w:jc w:val="center"/>
        <w:rPr>
          <w:rFonts w:ascii="宋体" w:hAnsi="宋体"/>
          <w:color w:val="auto"/>
          <w:sz w:val="24"/>
          <w:highlight w:val="none"/>
        </w:rPr>
      </w:pPr>
    </w:p>
    <w:p>
      <w:pPr>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b/>
          <w:bCs/>
          <w:color w:val="auto"/>
          <w:sz w:val="24"/>
          <w:highlight w:val="none"/>
        </w:rPr>
        <w:t>资格（资信）证明文件单独封装</w:t>
      </w:r>
      <w:r>
        <w:rPr>
          <w:rFonts w:hint="eastAsia" w:ascii="仿宋" w:hAnsi="仿宋" w:eastAsia="仿宋" w:cs="仿宋"/>
          <w:color w:val="auto"/>
          <w:sz w:val="24"/>
          <w:highlight w:val="none"/>
        </w:rPr>
        <w:t>。应包括下列内容（</w:t>
      </w:r>
      <w:r>
        <w:rPr>
          <w:rFonts w:hint="eastAsia" w:ascii="仿宋" w:hAnsi="仿宋" w:eastAsia="仿宋" w:cs="仿宋"/>
          <w:color w:val="auto"/>
          <w:sz w:val="24"/>
          <w:highlight w:val="none"/>
          <w:lang w:val="en-US" w:eastAsia="zh-CN"/>
        </w:rPr>
        <w:t>格式详见第十二部分</w:t>
      </w:r>
      <w:r>
        <w:rPr>
          <w:rFonts w:hint="eastAsia" w:ascii="仿宋" w:hAnsi="仿宋" w:eastAsia="仿宋" w:cs="仿宋"/>
          <w:color w:val="auto"/>
          <w:sz w:val="24"/>
          <w:highlight w:val="none"/>
        </w:rPr>
        <w:t>）：</w:t>
      </w:r>
    </w:p>
    <w:p>
      <w:pPr>
        <w:spacing w:line="4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3.1.1法定代表人授权证书；</w:t>
      </w:r>
    </w:p>
    <w:p>
      <w:pPr>
        <w:spacing w:line="4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3.1.2营业执照副本(文件中装订复印件，需盖公章)；</w:t>
      </w:r>
    </w:p>
    <w:p>
      <w:pPr>
        <w:spacing w:line="4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3.1.3全权代表身份证(文件中装订复印件，需盖公章)；</w:t>
      </w:r>
    </w:p>
    <w:p>
      <w:pPr>
        <w:tabs>
          <w:tab w:val="left" w:pos="1470"/>
        </w:tabs>
        <w:spacing w:line="4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3.1.4法定代表人的身份证(文件中装订复印件，需盖公章)；</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_GB2312"/>
          <w:color w:val="auto"/>
          <w:sz w:val="24"/>
          <w:highlight w:val="none"/>
        </w:rPr>
        <w:t>5最近一年度资产负债表等财务报表资料文件 (或其它财务状况报告，新成立的公司提供情况说明)复印件；</w:t>
      </w:r>
    </w:p>
    <w:p>
      <w:pPr>
        <w:snapToGrid w:val="0"/>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_GB2312"/>
          <w:color w:val="auto"/>
          <w:sz w:val="24"/>
          <w:highlight w:val="none"/>
        </w:rPr>
        <w:t>6公告发布之日起到开标截止时间之间“信用中国”（www.creditchina.gov.cn）、中国政府采购网（www.ccgp.gov.cn）失信被执行人、重大税收违法案件当事人名单、政府采购严重违法失信行为记录查询结果截图；</w:t>
      </w:r>
    </w:p>
    <w:p>
      <w:pPr>
        <w:snapToGrid w:val="0"/>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投标声明函</w:t>
      </w:r>
    </w:p>
    <w:p>
      <w:pPr>
        <w:tabs>
          <w:tab w:val="left" w:pos="1470"/>
        </w:tabs>
        <w:spacing w:line="440" w:lineRule="exact"/>
        <w:ind w:firstLine="480" w:firstLineChars="200"/>
        <w:textAlignment w:val="bottom"/>
        <w:rPr>
          <w:rFonts w:ascii="宋体" w:hAnsi="宋体"/>
          <w:color w:val="auto"/>
          <w:sz w:val="24"/>
          <w:highlight w:val="none"/>
        </w:rPr>
      </w:pPr>
    </w:p>
    <w:p>
      <w:pPr>
        <w:pStyle w:val="3"/>
        <w:spacing w:before="0" w:after="0" w:line="440" w:lineRule="exact"/>
        <w:jc w:val="center"/>
        <w:rPr>
          <w:rFonts w:ascii="宋体" w:hAnsi="宋体"/>
          <w:color w:val="auto"/>
          <w:sz w:val="28"/>
          <w:szCs w:val="28"/>
          <w:highlight w:val="none"/>
        </w:rPr>
      </w:pPr>
      <w:bookmarkStart w:id="38" w:name="_Toc17119"/>
      <w:bookmarkStart w:id="39" w:name="_Toc519851260"/>
      <w:bookmarkStart w:id="40" w:name="_Toc24461"/>
      <w:r>
        <w:rPr>
          <w:rFonts w:hint="eastAsia" w:ascii="宋体" w:hAnsi="宋体"/>
          <w:color w:val="auto"/>
          <w:sz w:val="28"/>
          <w:szCs w:val="28"/>
          <w:highlight w:val="none"/>
        </w:rPr>
        <w:t>四、投标报价要求、投标文件编制要求</w:t>
      </w:r>
      <w:bookmarkEnd w:id="38"/>
      <w:bookmarkEnd w:id="39"/>
      <w:bookmarkEnd w:id="40"/>
    </w:p>
    <w:p>
      <w:pPr>
        <w:spacing w:line="440" w:lineRule="exact"/>
        <w:jc w:val="center"/>
        <w:rPr>
          <w:rFonts w:ascii="宋体" w:hAnsi="宋体"/>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4.1投标报价及相关要求：</w:t>
      </w:r>
    </w:p>
    <w:p>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4.1.1本次招标以</w:t>
      </w:r>
      <w:r>
        <w:rPr>
          <w:rFonts w:hint="eastAsia" w:ascii="仿宋" w:hAnsi="仿宋" w:eastAsia="仿宋" w:cs="仿宋"/>
          <w:color w:val="auto"/>
          <w:sz w:val="24"/>
          <w:highlight w:val="none"/>
          <w:lang w:val="en-US" w:eastAsia="zh-CN"/>
        </w:rPr>
        <w:t>比率进行</w:t>
      </w:r>
      <w:r>
        <w:rPr>
          <w:rFonts w:hint="eastAsia" w:ascii="仿宋" w:hAnsi="仿宋" w:eastAsia="仿宋" w:cs="仿宋"/>
          <w:color w:val="auto"/>
          <w:sz w:val="24"/>
          <w:highlight w:val="none"/>
        </w:rPr>
        <w:t>报价，投标供应商的报价应包括本项目开展所需的的项目管理、排版设计、制作、宣传册所需的配套宣传袋、人工的所有工资、社保福利费、日常开支费用、零星材料、法定税费、以及为完成本项目招标文件规定的服务工作所涉及到的一切相关费用</w:t>
      </w:r>
      <w:r>
        <w:rPr>
          <w:rFonts w:hint="eastAsia" w:ascii="仿宋" w:hAnsi="仿宋" w:eastAsia="仿宋" w:cs="仿宋"/>
          <w:color w:val="auto"/>
          <w:sz w:val="24"/>
          <w:highlight w:val="none"/>
          <w:lang w:eastAsia="zh-CN"/>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4.1.2投标供应商的报价必须是本标书所要求的全部项目投标价的总和，并以投标投标供应商在设备等采购清单中提供的单价及总额价为依据。</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4.1.3各细目</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单价，包括一切与供货（含安装）相关的费用。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4.1.4各项目单项的价款</w:t>
      </w:r>
      <w:r>
        <w:rPr>
          <w:rFonts w:hint="eastAsia" w:ascii="仿宋" w:hAnsi="仿宋" w:eastAsia="仿宋" w:cs="仿宋"/>
          <w:color w:val="auto"/>
          <w:sz w:val="24"/>
          <w:highlight w:val="none"/>
          <w:lang w:val="en-US" w:eastAsia="zh-CN"/>
        </w:rPr>
        <w:t>按中标比率进行调整</w:t>
      </w:r>
      <w:r>
        <w:rPr>
          <w:rFonts w:hint="eastAsia" w:ascii="仿宋" w:hAnsi="仿宋" w:eastAsia="仿宋" w:cs="仿宋"/>
          <w:color w:val="auto"/>
          <w:sz w:val="24"/>
          <w:highlight w:val="none"/>
        </w:rPr>
        <w:t>，今后采购量如有增减，其总价款则按实以单项价款调整。</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4.1.5</w:t>
      </w:r>
      <w:r>
        <w:rPr>
          <w:rFonts w:hint="eastAsia" w:ascii="仿宋" w:hAnsi="仿宋" w:eastAsia="仿宋" w:cs="仿宋"/>
          <w:color w:val="auto"/>
          <w:sz w:val="24"/>
          <w:highlight w:val="none"/>
          <w:lang w:eastAsia="zh-CN"/>
        </w:rPr>
        <w:t>投标（开标）一览表</w:t>
      </w:r>
      <w:r>
        <w:rPr>
          <w:rFonts w:hint="eastAsia" w:ascii="仿宋" w:hAnsi="仿宋" w:eastAsia="仿宋" w:cs="仿宋"/>
          <w:color w:val="auto"/>
          <w:sz w:val="24"/>
          <w:highlight w:val="none"/>
        </w:rPr>
        <w:t>中标明的价格在合同执行过程中是固定不变的，不得以任何理由予以变更。每个投标供应商只允许有一个报价，任何有选择的报价将不予接受。</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highlight w:val="none"/>
          <w:lang w:eastAsia="zh-CN"/>
        </w:rPr>
        <w:t>投标（开标）一览表</w:t>
      </w:r>
      <w:r>
        <w:rPr>
          <w:rFonts w:hint="eastAsia" w:ascii="仿宋" w:hAnsi="仿宋" w:eastAsia="仿宋" w:cs="仿宋"/>
          <w:color w:val="auto"/>
          <w:sz w:val="24"/>
          <w:highlight w:val="none"/>
        </w:rPr>
        <w:t>中不得漏填项目，否则当实施合同时供应商没有填入单价与金额的项目，将不予支付，并认为此项目费用已包括在价格表的其他项目的单价和金额之中。</w:t>
      </w:r>
    </w:p>
    <w:p>
      <w:pPr>
        <w:spacing w:line="44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4.1.7 </w:t>
      </w:r>
      <w:r>
        <w:rPr>
          <w:rFonts w:hint="eastAsia" w:ascii="仿宋" w:hAnsi="仿宋" w:eastAsia="仿宋" w:cs="仿宋"/>
          <w:color w:val="auto"/>
          <w:sz w:val="28"/>
          <w:szCs w:val="28"/>
          <w:highlight w:val="none"/>
        </w:rPr>
        <w:t>投标（开标）一览表需加盖投标供应商公章并由法定代表人或其委托代理人签字或盖章。</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4.2投标（开标）一览表按采购人提供的格式要求提供（格式附后，格式不得随意变动，变动者为无效）。</w:t>
      </w:r>
    </w:p>
    <w:p>
      <w:pPr>
        <w:ind w:firstLine="531" w:firstLineChars="147"/>
        <w:rPr>
          <w:rFonts w:hint="eastAsia" w:ascii="仿宋" w:hAnsi="仿宋" w:eastAsia="仿宋" w:cs="仿宋"/>
          <w:color w:val="auto"/>
          <w:sz w:val="24"/>
          <w:highlight w:val="none"/>
        </w:rPr>
      </w:pPr>
      <w:r>
        <w:rPr>
          <w:rFonts w:hint="eastAsia" w:ascii="仿宋" w:hAnsi="仿宋" w:eastAsia="仿宋" w:cs="仿宋"/>
          <w:b/>
          <w:color w:val="auto"/>
          <w:sz w:val="36"/>
          <w:szCs w:val="36"/>
          <w:highlight w:val="none"/>
          <w:u w:val="single"/>
        </w:rPr>
        <w:t>投标（开标）一览表中的报价部分(含大写、小写金额)必须采用电脑打印，不得采用手写或者其他形式，否则视作废标处理。</w:t>
      </w:r>
    </w:p>
    <w:p>
      <w:pPr>
        <w:spacing w:line="440" w:lineRule="exact"/>
        <w:ind w:firstLine="472" w:firstLineChars="197"/>
        <w:rPr>
          <w:rFonts w:hint="eastAsia" w:ascii="仿宋" w:hAnsi="仿宋" w:eastAsia="仿宋" w:cs="仿宋"/>
          <w:color w:val="auto"/>
          <w:sz w:val="24"/>
          <w:highlight w:val="none"/>
        </w:rPr>
      </w:pPr>
      <w:r>
        <w:rPr>
          <w:rFonts w:hint="eastAsia" w:ascii="仿宋" w:hAnsi="仿宋" w:eastAsia="仿宋" w:cs="仿宋"/>
          <w:color w:val="auto"/>
          <w:sz w:val="24"/>
          <w:highlight w:val="none"/>
        </w:rPr>
        <w:t>4.3投标文件的编写</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投标供应商应仔细阅读招标文件，了解招标文件的要求。在完全了解招标货物的技术规范和要求以及技术条件后，编制投标文件。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履约保证金待履行供货（含安装）合同完毕后10个工作日内予以退还（不计息）。</w:t>
      </w:r>
      <w:bookmarkStart w:id="41" w:name="_Toc519851261"/>
    </w:p>
    <w:p>
      <w:pPr>
        <w:pStyle w:val="23"/>
        <w:spacing w:line="440" w:lineRule="exact"/>
        <w:ind w:firstLine="480" w:firstLineChars="200"/>
        <w:rPr>
          <w:rFonts w:ascii="宋体" w:hAnsi="宋体"/>
          <w:color w:val="auto"/>
          <w:highlight w:val="none"/>
        </w:rPr>
      </w:pPr>
    </w:p>
    <w:p>
      <w:pPr>
        <w:pStyle w:val="3"/>
        <w:spacing w:before="0" w:after="0" w:line="440" w:lineRule="exact"/>
        <w:jc w:val="center"/>
        <w:rPr>
          <w:rFonts w:ascii="宋体" w:hAnsi="宋体"/>
          <w:color w:val="auto"/>
          <w:sz w:val="28"/>
          <w:szCs w:val="28"/>
          <w:highlight w:val="none"/>
        </w:rPr>
      </w:pPr>
      <w:bookmarkStart w:id="42" w:name="_Toc489"/>
      <w:bookmarkStart w:id="43" w:name="_Toc14986"/>
      <w:r>
        <w:rPr>
          <w:rFonts w:hint="eastAsia" w:ascii="宋体" w:hAnsi="宋体"/>
          <w:color w:val="auto"/>
          <w:sz w:val="28"/>
          <w:szCs w:val="28"/>
          <w:highlight w:val="none"/>
        </w:rPr>
        <w:t>五、招标项目的技术规格、要求和数量，包括附件、图样等</w:t>
      </w:r>
      <w:bookmarkEnd w:id="41"/>
      <w:bookmarkEnd w:id="42"/>
      <w:bookmarkEnd w:id="43"/>
    </w:p>
    <w:p>
      <w:pPr>
        <w:snapToGrid w:val="0"/>
        <w:spacing w:line="360" w:lineRule="auto"/>
        <w:ind w:firstLine="3052" w:firstLineChars="950"/>
        <w:rPr>
          <w:rFonts w:hint="eastAsia" w:ascii="仿宋" w:hAnsi="仿宋" w:eastAsia="仿宋" w:cs="仿宋_GB2312"/>
          <w:b/>
          <w:color w:val="auto"/>
          <w:sz w:val="32"/>
          <w:highlight w:val="none"/>
        </w:rPr>
      </w:pPr>
    </w:p>
    <w:p>
      <w:pPr>
        <w:snapToGrid w:val="0"/>
        <w:spacing w:line="360" w:lineRule="auto"/>
        <w:ind w:firstLine="3052" w:firstLineChars="950"/>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lang w:val="en-US" w:eastAsia="zh-CN"/>
        </w:rPr>
        <w:t>5.1</w:t>
      </w:r>
      <w:r>
        <w:rPr>
          <w:rFonts w:hint="eastAsia" w:ascii="仿宋" w:hAnsi="仿宋" w:eastAsia="仿宋" w:cs="仿宋_GB2312"/>
          <w:b/>
          <w:color w:val="auto"/>
          <w:sz w:val="32"/>
          <w:highlight w:val="none"/>
        </w:rPr>
        <w:t>服务清单及要求</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（每项服务至少包括服务名称、服务内容、服务质量要求、人员投入及要求、设备投入及要求等。如有多项细分服务，均需至少包含以上信息）</w:t>
      </w:r>
    </w:p>
    <w:p>
      <w:pPr>
        <w:spacing w:line="440" w:lineRule="exact"/>
        <w:ind w:firstLine="480" w:firstLineChars="200"/>
        <w:rPr>
          <w:rFonts w:ascii="宋体" w:hAnsi="宋体"/>
          <w:bCs/>
          <w:color w:val="auto"/>
          <w:sz w:val="24"/>
          <w:highlight w:val="none"/>
        </w:rPr>
      </w:pPr>
    </w:p>
    <w:bookmarkEnd w:id="31"/>
    <w:bookmarkEnd w:id="32"/>
    <w:p>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1、项目背景</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为加快推进符合绍兴轨道交通1号线柯桥段沿线配套商业业态布局和整体定位的投资客商入驻，精准打造地铁配套商圈。进行商铺招商宣传和活动策划包括但不限于宣传片拍摄和制作，招商手册及宣传手册分发，招商区域小型宣传活动策划执行，绍兴城区各热点商圈拓客活动，小礼品的定制及采购等。</w:t>
      </w:r>
    </w:p>
    <w:p>
      <w:pPr>
        <w:autoSpaceDE w:val="0"/>
        <w:autoSpaceDN w:val="0"/>
        <w:spacing w:line="440" w:lineRule="exact"/>
        <w:ind w:firstLine="480" w:firstLineChars="200"/>
        <w:rPr>
          <w:rFonts w:hint="eastAsia" w:ascii="仿宋" w:eastAsia="仿宋"/>
          <w:color w:val="auto"/>
          <w:sz w:val="24"/>
          <w:highlight w:val="none"/>
        </w:rPr>
      </w:pP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2、宣传片要求：</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宣传主题：对绍兴轨道交通一号线柯桥段的沿线商业进行招商宣传，更好的展示柯桥段的招商环境和优势，吸引更多的商户入驻。宣传片要求主题鲜明，构思新颖，艺术感强，创意独特，画面精美，富有活力。避免片子出现功能性堆砌标书，全片应有一条统一，集中主题思想的主线。</w:t>
      </w:r>
    </w:p>
    <w:p>
      <w:pPr>
        <w:numPr>
          <w:ilvl w:val="0"/>
          <w:numId w:val="4"/>
        </w:numPr>
        <w:autoSpaceDE w:val="0"/>
        <w:autoSpaceDN w:val="0"/>
        <w:spacing w:line="440" w:lineRule="exact"/>
        <w:ind w:left="480" w:leftChars="0" w:firstLine="0" w:firstLineChars="0"/>
        <w:rPr>
          <w:rFonts w:hint="eastAsia" w:ascii="仿宋" w:eastAsia="仿宋"/>
          <w:color w:val="auto"/>
          <w:sz w:val="24"/>
          <w:highlight w:val="none"/>
        </w:rPr>
      </w:pPr>
      <w:r>
        <w:rPr>
          <w:rFonts w:hint="eastAsia" w:ascii="仿宋" w:eastAsia="仿宋"/>
          <w:color w:val="auto"/>
          <w:sz w:val="24"/>
          <w:highlight w:val="none"/>
        </w:rPr>
        <w:t>依据拍摄要求进行脚本的创作及摄制团队的搭建、拍摄、后期制作等。同时要按照采购人的要求进行编辑处理，积极配合修改，补充拍摄镜头，确保拍摄效果。</w:t>
      </w:r>
    </w:p>
    <w:p>
      <w:pPr>
        <w:numPr>
          <w:ilvl w:val="0"/>
          <w:numId w:val="4"/>
        </w:numPr>
        <w:autoSpaceDE w:val="0"/>
        <w:autoSpaceDN w:val="0"/>
        <w:spacing w:line="440" w:lineRule="exact"/>
        <w:ind w:left="480" w:leftChars="0" w:firstLine="0" w:firstLineChars="0"/>
        <w:rPr>
          <w:rFonts w:hint="eastAsia" w:ascii="仿宋" w:hAnsi="Calibri" w:eastAsia="仿宋" w:cs="Times New Roman"/>
          <w:color w:val="auto"/>
          <w:sz w:val="24"/>
          <w:highlight w:val="none"/>
        </w:rPr>
      </w:pPr>
      <w:r>
        <w:rPr>
          <w:rFonts w:hint="eastAsia" w:ascii="仿宋" w:hAnsi="Calibri" w:eastAsia="仿宋" w:cs="Times New Roman"/>
          <w:color w:val="auto"/>
          <w:sz w:val="24"/>
          <w:highlight w:val="none"/>
          <w:lang w:val="en-US" w:eastAsia="zh-CN"/>
        </w:rPr>
        <w:t>宣传片内需结合招商现场周边商圈实景图和现场业态，需要有互动场景与情景。</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eastAsia="zh-CN"/>
        </w:rPr>
        <w:t>宣传片拍摄底稿须提交采购人，</w:t>
      </w:r>
      <w:r>
        <w:rPr>
          <w:rFonts w:hint="eastAsia" w:ascii="仿宋" w:eastAsia="仿宋"/>
          <w:color w:val="auto"/>
          <w:sz w:val="24"/>
          <w:highlight w:val="none"/>
        </w:rPr>
        <w:t>拍摄成果接受采购人</w:t>
      </w:r>
      <w:r>
        <w:rPr>
          <w:rFonts w:hint="eastAsia" w:ascii="仿宋" w:eastAsia="仿宋"/>
          <w:color w:val="auto"/>
          <w:sz w:val="24"/>
          <w:highlight w:val="none"/>
          <w:lang w:eastAsia="zh-CN"/>
        </w:rPr>
        <w:t>确认，</w:t>
      </w:r>
      <w:r>
        <w:rPr>
          <w:rFonts w:hint="eastAsia" w:ascii="仿宋" w:eastAsia="仿宋"/>
          <w:color w:val="auto"/>
          <w:sz w:val="24"/>
          <w:highlight w:val="none"/>
          <w:lang w:val="en-US" w:eastAsia="zh-CN"/>
        </w:rPr>
        <w:t>且最终版权归招标人所有</w:t>
      </w:r>
      <w:r>
        <w:rPr>
          <w:rFonts w:hint="eastAsia" w:ascii="仿宋" w:eastAsia="仿宋"/>
          <w:color w:val="auto"/>
          <w:sz w:val="24"/>
          <w:highlight w:val="none"/>
        </w:rPr>
        <w:t>。</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4</w:t>
      </w:r>
      <w:r>
        <w:rPr>
          <w:rFonts w:hint="eastAsia" w:ascii="仿宋" w:eastAsia="仿宋"/>
          <w:color w:val="auto"/>
          <w:sz w:val="24"/>
          <w:highlight w:val="none"/>
        </w:rPr>
        <w:t>）成片时长：</w:t>
      </w:r>
      <w:r>
        <w:rPr>
          <w:rFonts w:hint="eastAsia" w:ascii="仿宋" w:eastAsia="仿宋"/>
          <w:color w:val="auto"/>
          <w:sz w:val="24"/>
          <w:highlight w:val="none"/>
          <w:lang w:eastAsia="zh-CN"/>
        </w:rPr>
        <w:t>总时长</w:t>
      </w:r>
      <w:r>
        <w:rPr>
          <w:rFonts w:hint="eastAsia" w:ascii="仿宋" w:eastAsia="仿宋"/>
          <w:color w:val="auto"/>
          <w:sz w:val="24"/>
          <w:highlight w:val="none"/>
          <w:lang w:val="en-US" w:eastAsia="zh-CN"/>
        </w:rPr>
        <w:t>90秒</w:t>
      </w:r>
      <w:r>
        <w:rPr>
          <w:rFonts w:hint="eastAsia" w:ascii="仿宋" w:eastAsia="仿宋"/>
          <w:color w:val="auto"/>
          <w:sz w:val="24"/>
          <w:highlight w:val="none"/>
          <w:lang w:eastAsia="zh-CN"/>
        </w:rPr>
        <w:t>（可以制作成</w:t>
      </w:r>
      <w:r>
        <w:rPr>
          <w:rFonts w:hint="eastAsia" w:ascii="仿宋" w:eastAsia="仿宋"/>
          <w:color w:val="auto"/>
          <w:sz w:val="24"/>
          <w:highlight w:val="none"/>
          <w:lang w:val="en-US" w:eastAsia="zh-CN"/>
        </w:rPr>
        <w:t>30秒-60秒不等的单片2-3个</w:t>
      </w:r>
      <w:r>
        <w:rPr>
          <w:rFonts w:hint="eastAsia" w:ascii="仿宋" w:eastAsia="仿宋"/>
          <w:color w:val="auto"/>
          <w:sz w:val="24"/>
          <w:highlight w:val="none"/>
          <w:lang w:eastAsia="zh-CN"/>
        </w:rPr>
        <w:t>）</w:t>
      </w:r>
      <w:r>
        <w:rPr>
          <w:rFonts w:hint="eastAsia" w:ascii="仿宋" w:eastAsia="仿宋"/>
          <w:color w:val="auto"/>
          <w:sz w:val="24"/>
          <w:highlight w:val="none"/>
        </w:rPr>
        <w:t>。</w:t>
      </w:r>
    </w:p>
    <w:p>
      <w:pPr>
        <w:autoSpaceDE w:val="0"/>
        <w:autoSpaceDN w:val="0"/>
        <w:spacing w:line="440" w:lineRule="exact"/>
        <w:ind w:firstLine="480" w:firstLineChars="200"/>
        <w:rPr>
          <w:rFonts w:ascii="仿宋" w:eastAsia="仿宋"/>
          <w:color w:val="auto"/>
          <w:sz w:val="24"/>
          <w:highlight w:val="none"/>
        </w:rPr>
      </w:pPr>
      <w:r>
        <w:rPr>
          <w:rFonts w:hint="eastAsia" w:ascii="仿宋" w:eastAsia="仿宋"/>
          <w:color w:val="auto"/>
          <w:sz w:val="24"/>
          <w:highlight w:val="none"/>
          <w:lang w:val="en-US" w:eastAsia="zh-CN"/>
        </w:rPr>
        <w:t>5</w:t>
      </w:r>
      <w:r>
        <w:rPr>
          <w:rFonts w:hint="eastAsia" w:ascii="仿宋" w:eastAsia="仿宋"/>
          <w:color w:val="auto"/>
          <w:sz w:val="24"/>
          <w:highlight w:val="none"/>
        </w:rPr>
        <w:t>）技术要求：制作高清版本，表现形式新颖，能给观看者留下深刻印象，语言等其他事项可由制作方脚本决定。制作方可通过专业的创业策划，充分运用影视特效，航拍，音效，场景等手段进行创作。</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w:t>
      </w:r>
      <w:r>
        <w:rPr>
          <w:rFonts w:hint="eastAsia" w:ascii="仿宋" w:eastAsia="仿宋"/>
          <w:color w:val="auto"/>
          <w:sz w:val="24"/>
          <w:highlight w:val="none"/>
          <w:lang w:val="zh-CN"/>
        </w:rPr>
        <w:t>技术参数要求如下：</w:t>
      </w:r>
      <w:r>
        <w:rPr>
          <w:rFonts w:hint="eastAsia" w:ascii="仿宋" w:eastAsia="仿宋"/>
          <w:color w:val="auto"/>
          <w:sz w:val="24"/>
          <w:highlight w:val="none"/>
        </w:rPr>
        <w:t>（1）</w:t>
      </w:r>
      <w:r>
        <w:rPr>
          <w:rFonts w:hint="eastAsia" w:ascii="仿宋" w:eastAsia="仿宋"/>
          <w:color w:val="auto"/>
          <w:sz w:val="24"/>
          <w:highlight w:val="none"/>
          <w:lang w:val="zh-CN"/>
        </w:rPr>
        <w:t>分辨率不低于：</w:t>
      </w:r>
      <w:r>
        <w:rPr>
          <w:rFonts w:hint="eastAsia" w:ascii="仿宋" w:eastAsia="仿宋"/>
          <w:color w:val="auto"/>
          <w:sz w:val="24"/>
          <w:highlight w:val="none"/>
        </w:rPr>
        <w:t>1980*1080（2）</w:t>
      </w:r>
      <w:r>
        <w:rPr>
          <w:rFonts w:hint="eastAsia" w:ascii="仿宋" w:eastAsia="仿宋"/>
          <w:color w:val="auto"/>
          <w:sz w:val="24"/>
          <w:highlight w:val="none"/>
          <w:lang w:val="zh-CN"/>
        </w:rPr>
        <w:t>编码方式应为：</w:t>
      </w:r>
      <w:r>
        <w:rPr>
          <w:rFonts w:hint="eastAsia" w:ascii="仿宋" w:eastAsia="仿宋"/>
          <w:color w:val="auto"/>
          <w:sz w:val="24"/>
          <w:highlight w:val="none"/>
        </w:rPr>
        <w:t>H.264（3）</w:t>
      </w:r>
      <w:r>
        <w:rPr>
          <w:rFonts w:hint="eastAsia" w:ascii="仿宋" w:eastAsia="仿宋"/>
          <w:color w:val="auto"/>
          <w:sz w:val="24"/>
          <w:highlight w:val="none"/>
          <w:lang w:val="zh-CN"/>
        </w:rPr>
        <w:t>封装方式为：</w:t>
      </w:r>
      <w:r>
        <w:rPr>
          <w:rFonts w:hint="eastAsia" w:ascii="仿宋" w:eastAsia="仿宋"/>
          <w:color w:val="auto"/>
          <w:sz w:val="24"/>
          <w:highlight w:val="none"/>
        </w:rPr>
        <w:t>Mp4/Mov/Avi（4）</w:t>
      </w:r>
      <w:r>
        <w:rPr>
          <w:rFonts w:hint="eastAsia" w:ascii="仿宋" w:eastAsia="仿宋"/>
          <w:color w:val="auto"/>
          <w:sz w:val="24"/>
          <w:highlight w:val="none"/>
          <w:lang w:val="zh-CN"/>
        </w:rPr>
        <w:t>码流不低于：</w:t>
      </w:r>
      <w:r>
        <w:rPr>
          <w:rFonts w:hint="eastAsia" w:ascii="仿宋" w:eastAsia="仿宋"/>
          <w:color w:val="auto"/>
          <w:sz w:val="24"/>
          <w:highlight w:val="none"/>
        </w:rPr>
        <w:t>20M（5）画面比例：16:9（6）声音指标：16 Bits</w:t>
      </w:r>
    </w:p>
    <w:p>
      <w:pPr>
        <w:autoSpaceDE w:val="0"/>
        <w:autoSpaceDN w:val="0"/>
        <w:spacing w:line="440" w:lineRule="exact"/>
        <w:ind w:firstLine="480" w:firstLineChars="200"/>
        <w:rPr>
          <w:rFonts w:hint="eastAsia"/>
          <w:color w:val="auto"/>
          <w:highlight w:val="none"/>
        </w:rPr>
      </w:pPr>
      <w:r>
        <w:rPr>
          <w:rFonts w:hint="eastAsia" w:ascii="仿宋" w:eastAsia="仿宋"/>
          <w:color w:val="auto"/>
          <w:sz w:val="24"/>
          <w:highlight w:val="none"/>
          <w:lang w:val="en-US" w:eastAsia="zh-CN"/>
        </w:rPr>
        <w:t>7</w:t>
      </w:r>
      <w:r>
        <w:rPr>
          <w:rFonts w:hint="eastAsia" w:ascii="仿宋" w:eastAsia="仿宋"/>
          <w:color w:val="auto"/>
          <w:sz w:val="24"/>
          <w:highlight w:val="none"/>
        </w:rPr>
        <w:t>）拍摄时间要求：合同签订之日起至6月30日，对于绍兴轨道交通一号线柯桥段的沿线商业环境和商铺进行实地拍摄，待脚本最终确定后，进行后期剪辑、制作，直至2022年6月30日交付成片。</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8</w:t>
      </w:r>
      <w:r>
        <w:rPr>
          <w:rFonts w:hint="eastAsia" w:ascii="仿宋" w:eastAsia="仿宋"/>
          <w:color w:val="auto"/>
          <w:sz w:val="24"/>
          <w:highlight w:val="none"/>
        </w:rPr>
        <w:t>）服务期间，摄制组、设施设备由中标单位自行筹备。中标单位应保证其拍摄制作团队人员具备专业的制作素养、资质，有能力按照本项目的相关约定完成相应的制作服务工作。</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9</w:t>
      </w:r>
      <w:r>
        <w:rPr>
          <w:rFonts w:hint="eastAsia" w:ascii="仿宋" w:eastAsia="仿宋"/>
          <w:color w:val="auto"/>
          <w:sz w:val="24"/>
          <w:highlight w:val="none"/>
        </w:rPr>
        <w:t>）成片交付后半年内，在不改动原先结构的基础上，根据采购人要求，可以免费提供不少于3次的画面修改。服务期结束后半年内，退还履约保证金。</w:t>
      </w:r>
    </w:p>
    <w:p>
      <w:pPr>
        <w:pStyle w:val="2"/>
        <w:rPr>
          <w:rFonts w:hint="default" w:eastAsia="仿宋"/>
          <w:color w:val="auto"/>
          <w:highlight w:val="none"/>
          <w:lang w:val="en-US" w:eastAsia="zh-CN"/>
        </w:rPr>
      </w:pPr>
      <w:r>
        <w:rPr>
          <w:rFonts w:hint="eastAsia" w:ascii="仿宋" w:eastAsia="仿宋"/>
          <w:color w:val="auto"/>
          <w:sz w:val="24"/>
          <w:highlight w:val="none"/>
          <w:lang w:val="en-US" w:eastAsia="zh-CN"/>
        </w:rPr>
        <w:t xml:space="preserve"> 10）招商商业区及周边环境实景照片（采用单反相机拍摄、包含后期修图美图）电子版不少于50张。</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3、招商手册和宣传配套物料的制作分发</w:t>
      </w:r>
    </w:p>
    <w:p>
      <w:pPr>
        <w:autoSpaceDE w:val="0"/>
        <w:autoSpaceDN w:val="0"/>
        <w:spacing w:line="440" w:lineRule="exact"/>
        <w:ind w:firstLine="480" w:firstLineChars="200"/>
        <w:rPr>
          <w:rFonts w:hint="default" w:ascii="仿宋" w:eastAsia="仿宋"/>
          <w:color w:val="auto"/>
          <w:sz w:val="24"/>
          <w:highlight w:val="none"/>
          <w:lang w:val="en-US" w:eastAsia="zh-CN"/>
        </w:rPr>
      </w:pPr>
      <w:r>
        <w:rPr>
          <w:rFonts w:hint="eastAsia" w:ascii="仿宋" w:eastAsia="仿宋"/>
          <w:color w:val="auto"/>
          <w:sz w:val="24"/>
          <w:highlight w:val="none"/>
        </w:rPr>
        <w:t>设计要求：为加快推进符合绍兴轨道交通1号线柯桥段沿线配套商业业态布局和整体定位的投资客商入驻，精准打造地铁配套商圈。围绕招商主题，采购人根据现有条件，自行收集相关素材，制作工作宣传册。要求设计精美，风格契合主题。</w:t>
      </w:r>
      <w:r>
        <w:rPr>
          <w:rFonts w:hint="eastAsia" w:ascii="仿宋" w:eastAsia="仿宋"/>
          <w:color w:val="auto"/>
          <w:sz w:val="24"/>
          <w:highlight w:val="none"/>
          <w:lang w:val="en-US" w:eastAsia="zh-CN"/>
        </w:rPr>
        <w:t>宣传手册最终版权归招标人所有，服务周期满之前允许修改调整版面不少于2次。</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宣传册</w:t>
      </w:r>
      <w:r>
        <w:rPr>
          <w:rFonts w:hint="eastAsia" w:ascii="仿宋" w:eastAsia="仿宋"/>
          <w:color w:val="auto"/>
          <w:sz w:val="24"/>
          <w:highlight w:val="none"/>
        </w:rPr>
        <w:t>规格：380mm*210mm宣传四折页</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宣传册</w:t>
      </w:r>
      <w:r>
        <w:rPr>
          <w:rFonts w:hint="eastAsia" w:ascii="仿宋" w:eastAsia="仿宋"/>
          <w:color w:val="auto"/>
          <w:sz w:val="24"/>
          <w:highlight w:val="none"/>
        </w:rPr>
        <w:t>材质要求：铜版纸双面覆膜或者特种纸张，异形刀版。200g左右</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宣传册</w:t>
      </w:r>
      <w:r>
        <w:rPr>
          <w:rFonts w:hint="eastAsia" w:ascii="仿宋" w:eastAsia="仿宋"/>
          <w:color w:val="auto"/>
          <w:sz w:val="24"/>
          <w:highlight w:val="none"/>
        </w:rPr>
        <w:t>数量：共计10000份</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宣传</w:t>
      </w:r>
      <w:r>
        <w:rPr>
          <w:rFonts w:hint="eastAsia" w:ascii="仿宋" w:eastAsia="仿宋"/>
          <w:color w:val="auto"/>
          <w:sz w:val="24"/>
          <w:highlight w:val="none"/>
        </w:rPr>
        <w:t>物料种类：文化类、生活类、娱乐类</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宣传</w:t>
      </w:r>
      <w:r>
        <w:rPr>
          <w:rFonts w:hint="eastAsia" w:ascii="仿宋" w:eastAsia="仿宋"/>
          <w:color w:val="auto"/>
          <w:sz w:val="24"/>
          <w:highlight w:val="none"/>
        </w:rPr>
        <w:t>物料质量要求：符合国家产品执行标准要求</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宣传</w:t>
      </w:r>
      <w:r>
        <w:rPr>
          <w:rFonts w:hint="eastAsia" w:ascii="仿宋" w:eastAsia="仿宋"/>
          <w:color w:val="auto"/>
          <w:sz w:val="24"/>
          <w:highlight w:val="none"/>
        </w:rPr>
        <w:t>物料包装要求：包装画面设计要求体现招商信息</w:t>
      </w:r>
    </w:p>
    <w:p>
      <w:pPr>
        <w:autoSpaceDE w:val="0"/>
        <w:autoSpaceDN w:val="0"/>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lang w:val="en-US" w:eastAsia="zh-CN"/>
        </w:rPr>
        <w:t>宣传</w:t>
      </w:r>
      <w:r>
        <w:rPr>
          <w:rFonts w:hint="eastAsia" w:ascii="仿宋" w:eastAsia="仿宋"/>
          <w:color w:val="auto"/>
          <w:sz w:val="24"/>
          <w:highlight w:val="none"/>
        </w:rPr>
        <w:t>物料按价格区分：</w:t>
      </w:r>
      <w:r>
        <w:rPr>
          <w:rFonts w:hint="eastAsia" w:ascii="仿宋" w:eastAsia="仿宋"/>
          <w:color w:val="auto"/>
          <w:sz w:val="24"/>
          <w:highlight w:val="none"/>
          <w:lang w:val="en-US" w:eastAsia="zh-CN"/>
        </w:rPr>
        <w:t>详见《开标一览表》</w:t>
      </w:r>
    </w:p>
    <w:p>
      <w:pPr>
        <w:autoSpaceDE w:val="0"/>
        <w:autoSpaceDN w:val="0"/>
        <w:spacing w:line="440" w:lineRule="exact"/>
        <w:ind w:firstLine="480" w:firstLineChars="200"/>
        <w:rPr>
          <w:rFonts w:hint="eastAsia" w:ascii="仿宋" w:hAnsi="Calibri" w:eastAsia="仿宋" w:cs="Times New Roman"/>
          <w:color w:val="auto"/>
          <w:sz w:val="24"/>
          <w:highlight w:val="none"/>
          <w:lang w:val="en-US" w:eastAsia="zh-CN"/>
        </w:rPr>
      </w:pPr>
      <w:r>
        <w:rPr>
          <w:rFonts w:hint="eastAsia" w:ascii="仿宋" w:hAnsi="Calibri" w:eastAsia="仿宋" w:cs="Times New Roman"/>
          <w:color w:val="auto"/>
          <w:sz w:val="24"/>
          <w:highlight w:val="none"/>
          <w:lang w:val="en-US" w:eastAsia="zh-CN"/>
        </w:rPr>
        <w:t>易拉宝：用于招商宣传和政策介绍</w:t>
      </w:r>
    </w:p>
    <w:p>
      <w:pPr>
        <w:autoSpaceDE w:val="0"/>
        <w:autoSpaceDN w:val="0"/>
        <w:spacing w:line="440" w:lineRule="exact"/>
        <w:ind w:firstLine="480" w:firstLineChars="200"/>
        <w:rPr>
          <w:rFonts w:hint="eastAsia" w:ascii="仿宋" w:hAnsi="Calibri" w:eastAsia="仿宋" w:cs="Times New Roman"/>
          <w:color w:val="auto"/>
          <w:sz w:val="24"/>
          <w:highlight w:val="none"/>
          <w:lang w:val="en-US" w:eastAsia="zh-CN"/>
        </w:rPr>
      </w:pPr>
      <w:r>
        <w:rPr>
          <w:rFonts w:hint="eastAsia" w:ascii="仿宋" w:hAnsi="Calibri" w:eastAsia="仿宋" w:cs="Times New Roman"/>
          <w:color w:val="auto"/>
          <w:sz w:val="24"/>
          <w:highlight w:val="none"/>
          <w:lang w:val="en-US" w:eastAsia="zh-CN"/>
        </w:rPr>
        <w:t>活动背景桁架要求：按活动方案具体确定尺寸（桁架按租赁考虑，服务期满后由中标人回收）</w:t>
      </w:r>
    </w:p>
    <w:p>
      <w:pPr>
        <w:autoSpaceDE w:val="0"/>
        <w:autoSpaceDN w:val="0"/>
        <w:spacing w:line="440" w:lineRule="exact"/>
        <w:ind w:firstLine="480" w:firstLineChars="200"/>
        <w:rPr>
          <w:rFonts w:hint="default" w:ascii="仿宋" w:hAnsi="Calibri" w:eastAsia="仿宋" w:cs="Times New Roman"/>
          <w:color w:val="auto"/>
          <w:sz w:val="24"/>
          <w:highlight w:val="none"/>
          <w:lang w:val="en-US" w:eastAsia="zh-CN"/>
        </w:rPr>
      </w:pPr>
      <w:r>
        <w:rPr>
          <w:rFonts w:hint="eastAsia" w:ascii="仿宋" w:hAnsi="Calibri" w:eastAsia="仿宋" w:cs="Times New Roman"/>
          <w:color w:val="auto"/>
          <w:sz w:val="24"/>
          <w:highlight w:val="none"/>
          <w:lang w:val="en-US" w:eastAsia="zh-CN"/>
        </w:rPr>
        <w:t>喷绘布要求：按活动方案具体确定尺寸和材质</w:t>
      </w:r>
    </w:p>
    <w:p>
      <w:pPr>
        <w:pStyle w:val="18"/>
        <w:rPr>
          <w:rFonts w:hint="eastAsia"/>
          <w:color w:val="auto"/>
          <w:highlight w:val="none"/>
          <w:lang w:val="en-US" w:eastAsia="zh-CN"/>
        </w:rPr>
      </w:pPr>
    </w:p>
    <w:p>
      <w:pPr>
        <w:pStyle w:val="18"/>
        <w:rPr>
          <w:rFonts w:hint="default"/>
          <w:color w:val="auto"/>
          <w:highlight w:val="none"/>
          <w:lang w:val="en-US" w:eastAsia="zh-CN"/>
        </w:rPr>
      </w:pPr>
      <w:r>
        <w:rPr>
          <w:rFonts w:hint="default"/>
          <w:color w:val="auto"/>
          <w:highlight w:val="none"/>
          <w:lang w:val="en-US" w:eastAsia="zh-CN"/>
        </w:rPr>
        <w:drawing>
          <wp:inline distT="0" distB="0" distL="114300" distR="114300">
            <wp:extent cx="3089910" cy="2888615"/>
            <wp:effectExtent l="0" t="0" r="15240" b="6985"/>
            <wp:docPr id="5" name="图片 1" descr="81897be20795281525bb1eb5d99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81897be20795281525bb1eb5d997176"/>
                    <pic:cNvPicPr>
                      <a:picLocks noChangeAspect="1"/>
                    </pic:cNvPicPr>
                  </pic:nvPicPr>
                  <pic:blipFill>
                    <a:blip r:embed="rId14"/>
                    <a:stretch>
                      <a:fillRect/>
                    </a:stretch>
                  </pic:blipFill>
                  <pic:spPr>
                    <a:xfrm>
                      <a:off x="0" y="0"/>
                      <a:ext cx="3089910" cy="2888615"/>
                    </a:xfrm>
                    <a:prstGeom prst="rect">
                      <a:avLst/>
                    </a:prstGeom>
                    <a:noFill/>
                    <a:ln>
                      <a:noFill/>
                    </a:ln>
                  </pic:spPr>
                </pic:pic>
              </a:graphicData>
            </a:graphic>
          </wp:inline>
        </w:drawing>
      </w:r>
    </w:p>
    <w:p>
      <w:pPr>
        <w:widowControl/>
        <w:snapToGrid w:val="0"/>
        <w:spacing w:line="480" w:lineRule="exact"/>
        <w:rPr>
          <w:rFonts w:hint="eastAsia" w:ascii="仿宋" w:eastAsia="仿宋"/>
          <w:b/>
          <w:bCs/>
          <w:color w:val="auto"/>
          <w:sz w:val="24"/>
          <w:highlight w:val="none"/>
          <w:lang w:val="en-US" w:eastAsia="zh-CN"/>
        </w:rPr>
      </w:pPr>
    </w:p>
    <w:p>
      <w:pPr>
        <w:widowControl/>
        <w:snapToGrid w:val="0"/>
        <w:spacing w:line="480" w:lineRule="exact"/>
        <w:rPr>
          <w:rFonts w:hint="eastAsia" w:ascii="仿宋" w:eastAsia="仿宋"/>
          <w:b/>
          <w:bCs/>
          <w:color w:val="auto"/>
          <w:sz w:val="24"/>
          <w:highlight w:val="none"/>
          <w:lang w:val="en-US" w:eastAsia="zh-CN"/>
        </w:rPr>
      </w:pPr>
    </w:p>
    <w:p>
      <w:pPr>
        <w:widowControl/>
        <w:snapToGrid w:val="0"/>
        <w:spacing w:line="480" w:lineRule="exact"/>
        <w:rPr>
          <w:rFonts w:hint="eastAsia" w:ascii="仿宋" w:eastAsia="仿宋"/>
          <w:b/>
          <w:bCs/>
          <w:color w:val="auto"/>
          <w:sz w:val="24"/>
          <w:highlight w:val="none"/>
          <w:lang w:eastAsia="zh-CN"/>
        </w:rPr>
      </w:pPr>
      <w:r>
        <w:rPr>
          <w:rFonts w:hint="eastAsia" w:ascii="仿宋" w:eastAsia="仿宋"/>
          <w:b/>
          <w:bCs/>
          <w:color w:val="auto"/>
          <w:sz w:val="24"/>
          <w:highlight w:val="none"/>
          <w:lang w:val="en-US" w:eastAsia="zh-CN"/>
        </w:rPr>
        <w:t>4</w:t>
      </w:r>
      <w:r>
        <w:rPr>
          <w:rFonts w:hint="eastAsia" w:ascii="仿宋" w:eastAsia="仿宋"/>
          <w:b/>
          <w:bCs/>
          <w:color w:val="auto"/>
          <w:sz w:val="24"/>
          <w:highlight w:val="none"/>
        </w:rPr>
        <w:t>、</w:t>
      </w:r>
      <w:r>
        <w:rPr>
          <w:rFonts w:ascii="仿宋" w:eastAsia="仿宋"/>
          <w:b/>
          <w:bCs/>
          <w:color w:val="auto"/>
          <w:sz w:val="24"/>
          <w:highlight w:val="none"/>
        </w:rPr>
        <w:t>招商小型宣传活动</w:t>
      </w:r>
      <w:r>
        <w:rPr>
          <w:rFonts w:hint="eastAsia" w:ascii="仿宋" w:eastAsia="仿宋"/>
          <w:b/>
          <w:bCs/>
          <w:color w:val="auto"/>
          <w:sz w:val="24"/>
          <w:highlight w:val="none"/>
          <w:lang w:eastAsia="zh-CN"/>
        </w:rPr>
        <w:t>策划及执行</w:t>
      </w:r>
    </w:p>
    <w:p>
      <w:pPr>
        <w:autoSpaceDE w:val="0"/>
        <w:autoSpaceDN w:val="0"/>
        <w:spacing w:line="440" w:lineRule="exact"/>
        <w:ind w:firstLine="480" w:firstLineChars="200"/>
        <w:rPr>
          <w:rFonts w:hint="eastAsia" w:ascii="仿宋" w:hAnsi="Calibri" w:eastAsia="仿宋" w:cs="Times New Roman"/>
          <w:color w:val="auto"/>
          <w:sz w:val="24"/>
          <w:highlight w:val="none"/>
          <w:lang w:val="en-US" w:eastAsia="zh-CN"/>
        </w:rPr>
      </w:pPr>
      <w:r>
        <w:rPr>
          <w:rFonts w:hint="eastAsia" w:ascii="仿宋" w:eastAsia="仿宋"/>
          <w:color w:val="auto"/>
          <w:sz w:val="24"/>
          <w:highlight w:val="none"/>
        </w:rPr>
        <w:t>中标方需确保每月三到四次的地推宣传活动</w:t>
      </w:r>
      <w:r>
        <w:rPr>
          <w:rFonts w:hint="eastAsia" w:ascii="仿宋" w:eastAsia="仿宋"/>
          <w:color w:val="auto"/>
          <w:sz w:val="24"/>
          <w:highlight w:val="none"/>
          <w:lang w:eastAsia="zh-CN"/>
        </w:rPr>
        <w:t>策划及执行</w:t>
      </w:r>
      <w:r>
        <w:rPr>
          <w:rFonts w:hint="eastAsia" w:ascii="仿宋" w:eastAsia="仿宋"/>
          <w:color w:val="auto"/>
          <w:sz w:val="24"/>
          <w:highlight w:val="none"/>
        </w:rPr>
        <w:t>，包括但不限于在绍兴各大热点商圈</w:t>
      </w:r>
      <w:r>
        <w:rPr>
          <w:rFonts w:hint="eastAsia" w:ascii="仿宋" w:eastAsia="仿宋"/>
          <w:color w:val="auto"/>
          <w:sz w:val="24"/>
          <w:highlight w:val="none"/>
          <w:lang w:eastAsia="zh-CN"/>
        </w:rPr>
        <w:t>、</w:t>
      </w:r>
      <w:r>
        <w:rPr>
          <w:rFonts w:hint="eastAsia" w:ascii="仿宋" w:eastAsia="仿宋"/>
          <w:color w:val="auto"/>
          <w:sz w:val="24"/>
          <w:highlight w:val="none"/>
          <w:lang w:val="en-US" w:eastAsia="zh-CN"/>
        </w:rPr>
        <w:t>社区、高校</w:t>
      </w:r>
      <w:r>
        <w:rPr>
          <w:rFonts w:hint="eastAsia" w:ascii="仿宋" w:eastAsia="仿宋"/>
          <w:color w:val="auto"/>
          <w:sz w:val="24"/>
          <w:highlight w:val="none"/>
          <w:lang w:eastAsia="zh-CN"/>
        </w:rPr>
        <w:t>等人流量较大区域进行招商摆摊，</w:t>
      </w:r>
      <w:r>
        <w:rPr>
          <w:rFonts w:hint="eastAsia" w:ascii="仿宋" w:eastAsia="仿宋"/>
          <w:color w:val="auto"/>
          <w:sz w:val="24"/>
          <w:highlight w:val="none"/>
        </w:rPr>
        <w:t>分发</w:t>
      </w:r>
      <w:r>
        <w:rPr>
          <w:rFonts w:hint="eastAsia" w:ascii="仿宋" w:eastAsia="仿宋"/>
          <w:color w:val="auto"/>
          <w:sz w:val="24"/>
          <w:highlight w:val="none"/>
          <w:lang w:eastAsia="zh-CN"/>
        </w:rPr>
        <w:t>宣传手册、小型</w:t>
      </w:r>
      <w:r>
        <w:rPr>
          <w:rFonts w:hint="eastAsia" w:ascii="仿宋" w:eastAsia="仿宋"/>
          <w:color w:val="auto"/>
          <w:sz w:val="24"/>
          <w:highlight w:val="none"/>
        </w:rPr>
        <w:t>活动</w:t>
      </w:r>
      <w:r>
        <w:rPr>
          <w:rFonts w:hint="eastAsia" w:ascii="仿宋" w:eastAsia="仿宋"/>
          <w:color w:val="auto"/>
          <w:sz w:val="24"/>
          <w:highlight w:val="none"/>
          <w:lang w:eastAsia="zh-CN"/>
        </w:rPr>
        <w:t>现场布置、话筒音响、主持人及演艺人员邀请</w:t>
      </w:r>
      <w:r>
        <w:rPr>
          <w:rFonts w:hint="eastAsia" w:ascii="仿宋" w:eastAsia="仿宋"/>
          <w:color w:val="auto"/>
          <w:sz w:val="24"/>
          <w:highlight w:val="none"/>
        </w:rPr>
        <w:t>等。持续时间不少于三个月。每次活动主题由中标方</w:t>
      </w:r>
      <w:r>
        <w:rPr>
          <w:rFonts w:hint="eastAsia" w:ascii="仿宋" w:eastAsia="仿宋"/>
          <w:color w:val="auto"/>
          <w:sz w:val="24"/>
          <w:highlight w:val="none"/>
          <w:lang w:eastAsia="zh-CN"/>
        </w:rPr>
        <w:t>提出活动策划方案后经</w:t>
      </w:r>
      <w:r>
        <w:rPr>
          <w:rFonts w:hint="eastAsia" w:ascii="仿宋" w:eastAsia="仿宋"/>
          <w:color w:val="auto"/>
          <w:sz w:val="24"/>
          <w:highlight w:val="none"/>
        </w:rPr>
        <w:t>招标方</w:t>
      </w:r>
      <w:r>
        <w:rPr>
          <w:rFonts w:hint="eastAsia" w:ascii="仿宋" w:eastAsia="仿宋"/>
          <w:color w:val="auto"/>
          <w:sz w:val="24"/>
          <w:highlight w:val="none"/>
          <w:lang w:eastAsia="zh-CN"/>
        </w:rPr>
        <w:t>确认</w:t>
      </w:r>
      <w:r>
        <w:rPr>
          <w:rFonts w:hint="eastAsia" w:ascii="仿宋" w:eastAsia="仿宋"/>
          <w:color w:val="auto"/>
          <w:sz w:val="24"/>
          <w:highlight w:val="none"/>
        </w:rPr>
        <w:t>，活动</w:t>
      </w:r>
      <w:r>
        <w:rPr>
          <w:rFonts w:hint="eastAsia" w:ascii="仿宋" w:hAnsi="Calibri" w:eastAsia="仿宋" w:cs="Times New Roman"/>
          <w:color w:val="auto"/>
          <w:sz w:val="24"/>
          <w:highlight w:val="none"/>
          <w:lang w:val="en-US" w:eastAsia="zh-CN"/>
        </w:rPr>
        <w:t>所需的人员出场费，会场租用费，交通费，食宿费，活动辅助材料费，搭建人工费等全部活动相关费用都由此次中标方承担</w:t>
      </w:r>
      <w:r>
        <w:rPr>
          <w:rFonts w:hint="eastAsia" w:ascii="仿宋" w:eastAsia="仿宋"/>
          <w:color w:val="auto"/>
          <w:sz w:val="24"/>
          <w:highlight w:val="none"/>
        </w:rPr>
        <w:t>。</w:t>
      </w:r>
      <w:r>
        <w:rPr>
          <w:rFonts w:hint="eastAsia" w:ascii="仿宋" w:hAnsi="Calibri" w:eastAsia="仿宋" w:cs="Times New Roman"/>
          <w:color w:val="auto"/>
          <w:sz w:val="24"/>
          <w:highlight w:val="none"/>
          <w:lang w:val="en-US" w:eastAsia="zh-CN"/>
        </w:rPr>
        <w:t>活动中派发的礼品、宣传册、活动背景桁架及喷绘、易拉宝等主材费用不包含在活动单次报价范围内，可单独计取。</w:t>
      </w:r>
    </w:p>
    <w:p>
      <w:pPr>
        <w:pStyle w:val="18"/>
        <w:ind w:firstLine="480" w:firstLineChars="200"/>
        <w:rPr>
          <w:rFonts w:hint="eastAsia" w:ascii="仿宋" w:hAnsi="Calibri" w:eastAsia="仿宋" w:cs="Times New Roman"/>
          <w:color w:val="auto"/>
          <w:sz w:val="24"/>
          <w:highlight w:val="none"/>
          <w:lang w:val="en-US" w:eastAsia="zh-CN"/>
        </w:rPr>
      </w:pPr>
      <w:r>
        <w:rPr>
          <w:rFonts w:hint="eastAsia" w:ascii="仿宋" w:hAnsi="Calibri" w:eastAsia="仿宋" w:cs="Times New Roman"/>
          <w:color w:val="auto"/>
          <w:sz w:val="24"/>
          <w:highlight w:val="none"/>
          <w:lang w:val="en-US" w:eastAsia="zh-CN"/>
        </w:rPr>
        <w:t>线下推广活动：一次活动设点不少于2个，一次活动工作人员不少于10个，单次活动费包含人工、辅助材料、场地租用费、交通费、食宿费，不含派发的礼品、宣传册、易拉宝等的主材物料。</w:t>
      </w:r>
    </w:p>
    <w:p>
      <w:pPr>
        <w:pStyle w:val="18"/>
        <w:ind w:firstLine="480" w:firstLineChars="200"/>
        <w:rPr>
          <w:rFonts w:hint="eastAsia"/>
          <w:color w:val="auto"/>
          <w:highlight w:val="none"/>
          <w:lang w:eastAsia="zh-CN"/>
        </w:rPr>
      </w:pPr>
      <w:r>
        <w:rPr>
          <w:rFonts w:hint="eastAsia" w:ascii="仿宋" w:hAnsi="Calibri" w:eastAsia="仿宋" w:cs="Times New Roman"/>
          <w:color w:val="auto"/>
          <w:sz w:val="24"/>
          <w:highlight w:val="none"/>
          <w:lang w:val="en-US" w:eastAsia="zh-CN"/>
        </w:rPr>
        <w:t>线下宣传活动：一次活动必须配备活动舞台及背景、主持人、嘉宾（演艺人）及互动环节。单次活动费用包含所需的人员出场费、话筒音响租赁费、主持人及演艺人员邀请费用、会场租用费、交通费、食宿费、活动辅助材料费、搭建人工费等全部活动相关费用，不含活动中派发的礼品、宣传册、活动背景桁架、喷绘、易拉宝等主材费用。</w:t>
      </w:r>
    </w:p>
    <w:p>
      <w:pPr>
        <w:pStyle w:val="18"/>
        <w:rPr>
          <w:rFonts w:hint="eastAsia"/>
          <w:color w:val="auto"/>
          <w:highlight w:val="none"/>
        </w:rPr>
      </w:pPr>
    </w:p>
    <w:p>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lang w:val="en-US" w:eastAsia="zh-CN"/>
        </w:rPr>
        <w:t>5.2</w:t>
      </w:r>
      <w:r>
        <w:rPr>
          <w:rFonts w:hint="eastAsia" w:ascii="仿宋" w:hAnsi="仿宋" w:eastAsia="仿宋" w:cs="仿宋_GB2312"/>
          <w:b/>
          <w:color w:val="auto"/>
          <w:sz w:val="32"/>
          <w:highlight w:val="none"/>
        </w:rPr>
        <w:t>商务要求</w:t>
      </w:r>
    </w:p>
    <w:p>
      <w:pPr>
        <w:widowControl/>
        <w:snapToGrid w:val="0"/>
        <w:spacing w:line="360" w:lineRule="auto"/>
        <w:rPr>
          <w:rFonts w:hint="eastAsia" w:ascii="仿宋" w:eastAsia="仿宋"/>
          <w:b/>
          <w:bCs/>
          <w:color w:val="auto"/>
          <w:kern w:val="0"/>
          <w:sz w:val="24"/>
          <w:highlight w:val="none"/>
        </w:rPr>
      </w:pPr>
      <w:r>
        <w:rPr>
          <w:rFonts w:hint="eastAsia" w:ascii="仿宋" w:eastAsia="仿宋"/>
          <w:color w:val="auto"/>
          <w:sz w:val="24"/>
          <w:highlight w:val="none"/>
        </w:rPr>
        <w:t>▲</w:t>
      </w:r>
      <w:r>
        <w:rPr>
          <w:rFonts w:hint="eastAsia" w:ascii="仿宋" w:eastAsia="仿宋"/>
          <w:b/>
          <w:bCs/>
          <w:color w:val="auto"/>
          <w:kern w:val="0"/>
          <w:sz w:val="24"/>
          <w:highlight w:val="none"/>
          <w:lang w:val="en-US" w:eastAsia="zh-CN"/>
        </w:rPr>
        <w:t>1、</w:t>
      </w:r>
      <w:r>
        <w:rPr>
          <w:rFonts w:hint="eastAsia" w:ascii="仿宋" w:eastAsia="仿宋"/>
          <w:b/>
          <w:bCs/>
          <w:color w:val="auto"/>
          <w:kern w:val="0"/>
          <w:sz w:val="24"/>
          <w:highlight w:val="none"/>
        </w:rPr>
        <w:t>服务期要求</w:t>
      </w:r>
    </w:p>
    <w:p>
      <w:pPr>
        <w:widowControl/>
        <w:snapToGrid w:val="0"/>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不少于三个月，具体以业主指令为准。</w:t>
      </w:r>
    </w:p>
    <w:p>
      <w:pPr>
        <w:widowControl/>
        <w:snapToGrid w:val="0"/>
        <w:spacing w:line="360" w:lineRule="auto"/>
        <w:rPr>
          <w:rFonts w:hint="eastAsia" w:ascii="仿宋" w:eastAsia="仿宋"/>
          <w:b/>
          <w:bCs/>
          <w:color w:val="auto"/>
          <w:sz w:val="24"/>
          <w:highlight w:val="none"/>
        </w:rPr>
      </w:pPr>
      <w:r>
        <w:rPr>
          <w:rFonts w:hint="eastAsia" w:ascii="仿宋" w:eastAsia="仿宋"/>
          <w:color w:val="auto"/>
          <w:sz w:val="24"/>
          <w:highlight w:val="none"/>
        </w:rPr>
        <w:t>▲</w:t>
      </w:r>
      <w:r>
        <w:rPr>
          <w:rFonts w:hint="eastAsia" w:ascii="仿宋" w:eastAsia="仿宋"/>
          <w:color w:val="auto"/>
          <w:sz w:val="24"/>
          <w:highlight w:val="none"/>
          <w:lang w:val="en-US" w:eastAsia="zh-CN"/>
        </w:rPr>
        <w:t>2、</w:t>
      </w:r>
      <w:r>
        <w:rPr>
          <w:rFonts w:hint="eastAsia" w:ascii="仿宋" w:eastAsia="仿宋"/>
          <w:b/>
          <w:bCs/>
          <w:color w:val="auto"/>
          <w:sz w:val="24"/>
          <w:highlight w:val="none"/>
        </w:rPr>
        <w:t>数量调整</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采购人保留合同履行中调整部分服务的权力，投标人应对服务/货物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napToGrid w:val="0"/>
        <w:spacing w:line="360" w:lineRule="auto"/>
        <w:rPr>
          <w:rFonts w:hint="eastAsia" w:ascii="仿宋" w:eastAsia="仿宋"/>
          <w:b/>
          <w:bCs/>
          <w:color w:val="auto"/>
          <w:kern w:val="0"/>
          <w:sz w:val="24"/>
          <w:highlight w:val="none"/>
        </w:rPr>
      </w:pPr>
      <w:r>
        <w:rPr>
          <w:rFonts w:hint="eastAsia" w:ascii="仿宋" w:eastAsia="仿宋"/>
          <w:color w:val="auto"/>
          <w:sz w:val="24"/>
          <w:highlight w:val="none"/>
        </w:rPr>
        <w:t>▲</w:t>
      </w:r>
      <w:r>
        <w:rPr>
          <w:rFonts w:hint="eastAsia" w:ascii="仿宋" w:eastAsia="仿宋"/>
          <w:b/>
          <w:bCs/>
          <w:color w:val="auto"/>
          <w:kern w:val="0"/>
          <w:sz w:val="24"/>
          <w:highlight w:val="none"/>
          <w:lang w:val="en-US" w:eastAsia="zh-CN"/>
        </w:rPr>
        <w:t>3、</w:t>
      </w:r>
      <w:r>
        <w:rPr>
          <w:rFonts w:hint="eastAsia" w:ascii="仿宋" w:eastAsia="仿宋"/>
          <w:b/>
          <w:bCs/>
          <w:color w:val="auto"/>
          <w:kern w:val="0"/>
          <w:sz w:val="24"/>
          <w:highlight w:val="none"/>
        </w:rPr>
        <w:t>付款方式</w:t>
      </w:r>
    </w:p>
    <w:p>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.1活动当月结束后根据当月服务或货物完成情况支付至当月应付款项的90%。</w:t>
      </w:r>
    </w:p>
    <w:p>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.2服务期结束后支付剩余款项；</w:t>
      </w:r>
    </w:p>
    <w:p>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eastAsia="仿宋"/>
          <w:b/>
          <w:bCs/>
          <w:color w:val="auto"/>
          <w:kern w:val="0"/>
          <w:sz w:val="24"/>
          <w:highlight w:val="none"/>
        </w:rPr>
        <w:t>验收</w:t>
      </w:r>
    </w:p>
    <w:p>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4</w:t>
      </w:r>
      <w:r>
        <w:rPr>
          <w:rFonts w:hint="eastAsia" w:ascii="仿宋" w:eastAsia="仿宋"/>
          <w:color w:val="auto"/>
          <w:kern w:val="0"/>
          <w:sz w:val="24"/>
          <w:highlight w:val="none"/>
        </w:rPr>
        <w:t>.1中标人应按现行的国家或行业技术及验收标准和招标文件的规定提服务，因中标人提供的服务达不到约定的质量标准，中标人承担违约责任。</w:t>
      </w:r>
    </w:p>
    <w:p>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4</w:t>
      </w:r>
      <w:r>
        <w:rPr>
          <w:rFonts w:hint="eastAsia" w:ascii="仿宋" w:eastAsia="仿宋"/>
          <w:color w:val="auto"/>
          <w:kern w:val="0"/>
          <w:sz w:val="24"/>
          <w:highlight w:val="none"/>
        </w:rPr>
        <w:t>.2验收由使用单位按规定组织相关人员或专家进行。</w:t>
      </w:r>
    </w:p>
    <w:p>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4</w:t>
      </w:r>
      <w:r>
        <w:rPr>
          <w:rFonts w:hint="eastAsia" w:ascii="仿宋" w:eastAsia="仿宋"/>
          <w:color w:val="auto"/>
          <w:kern w:val="0"/>
          <w:sz w:val="24"/>
          <w:highlight w:val="none"/>
        </w:rPr>
        <w:t>.3双方对服务的质量有争议的，由双方同意的专业检测机构鉴定，所需费及因此造成的损失由责任方承担，双方均有责任的，双方根据其责任分别承担。</w:t>
      </w:r>
    </w:p>
    <w:p>
      <w:pPr>
        <w:pStyle w:val="2"/>
        <w:rPr>
          <w:rFonts w:hint="eastAsia" w:ascii="仿宋" w:eastAsia="仿宋"/>
          <w:color w:val="auto"/>
          <w:kern w:val="0"/>
          <w:sz w:val="24"/>
          <w:highlight w:val="none"/>
        </w:rPr>
      </w:pPr>
    </w:p>
    <w:p>
      <w:pPr>
        <w:pStyle w:val="2"/>
        <w:rPr>
          <w:rFonts w:hint="eastAsia" w:ascii="仿宋" w:eastAsia="仿宋"/>
          <w:color w:val="auto"/>
          <w:kern w:val="0"/>
          <w:sz w:val="24"/>
          <w:highlight w:val="none"/>
        </w:rPr>
      </w:pPr>
    </w:p>
    <w:p>
      <w:pPr>
        <w:spacing w:line="3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六、合同主要条款及合同签订方式</w:t>
      </w:r>
    </w:p>
    <w:p>
      <w:pPr>
        <w:pStyle w:val="19"/>
        <w:spacing w:line="360" w:lineRule="auto"/>
        <w:ind w:left="0" w:leftChars="0" w:firstLine="0" w:firstLineChars="0"/>
        <w:rPr>
          <w:rFonts w:hint="eastAsia" w:ascii="仿宋" w:hAnsi="仿宋" w:eastAsia="仿宋" w:cs="仿宋_GB2312"/>
          <w:color w:val="auto"/>
          <w:sz w:val="24"/>
          <w:szCs w:val="24"/>
          <w:highlight w:val="none"/>
          <w:lang w:val="en-US" w:eastAsia="zh-CN"/>
        </w:rPr>
      </w:pPr>
    </w:p>
    <w:p>
      <w:pPr>
        <w:pStyle w:val="19"/>
        <w:spacing w:line="360" w:lineRule="auto"/>
        <w:ind w:left="0" w:leftChars="0" w:firstLine="0" w:firstLineChars="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lang w:val="en-US" w:eastAsia="zh-CN"/>
        </w:rPr>
        <w:t>6.1</w:t>
      </w:r>
      <w:r>
        <w:rPr>
          <w:rFonts w:hint="eastAsia" w:ascii="仿宋" w:hAnsi="仿宋" w:eastAsia="仿宋" w:cs="仿宋_GB2312"/>
          <w:color w:val="auto"/>
          <w:sz w:val="24"/>
          <w:szCs w:val="24"/>
          <w:highlight w:val="none"/>
        </w:rPr>
        <w:t>合同主要条款详见第五部分拟签订的合同文本。</w:t>
      </w:r>
    </w:p>
    <w:p>
      <w:pPr>
        <w:pStyle w:val="19"/>
        <w:spacing w:line="360" w:lineRule="auto"/>
        <w:ind w:left="0" w:leftChars="0" w:firstLine="0" w:firstLineChars="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lang w:val="en-US" w:eastAsia="zh-CN"/>
        </w:rPr>
        <w:t>6.2</w:t>
      </w:r>
      <w:r>
        <w:rPr>
          <w:rFonts w:hint="eastAsia" w:ascii="仿宋" w:hAnsi="仿宋" w:eastAsia="仿宋" w:cs="仿宋_GB2312"/>
          <w:b/>
          <w:color w:val="auto"/>
          <w:sz w:val="24"/>
          <w:szCs w:val="24"/>
          <w:highlight w:val="none"/>
        </w:rPr>
        <w:t>合同的签订</w:t>
      </w:r>
    </w:p>
    <w:p>
      <w:pPr>
        <w:widowControl/>
        <w:shd w:val="clear" w:color="auto" w:fill="FFFFFF"/>
        <w:spacing w:line="360" w:lineRule="auto"/>
        <w:jc w:val="left"/>
        <w:rPr>
          <w:rFonts w:ascii="仿宋" w:hAnsi="仿宋" w:eastAsia="仿宋" w:cs="Arial"/>
          <w:color w:val="auto"/>
          <w:kern w:val="0"/>
          <w:sz w:val="24"/>
          <w:szCs w:val="24"/>
          <w:highlight w:val="none"/>
        </w:rPr>
      </w:pPr>
      <w:r>
        <w:rPr>
          <w:rFonts w:hint="eastAsia" w:ascii="仿宋" w:eastAsia="仿宋"/>
          <w:color w:val="auto"/>
          <w:kern w:val="0"/>
          <w:sz w:val="24"/>
          <w:szCs w:val="24"/>
          <w:highlight w:val="none"/>
          <w:lang w:val="en-US" w:eastAsia="zh-CN"/>
        </w:rPr>
        <w:t>6..1</w:t>
      </w:r>
      <w:r>
        <w:rPr>
          <w:rFonts w:hint="eastAsia" w:ascii="仿宋" w:eastAsia="仿宋"/>
          <w:color w:val="auto"/>
          <w:kern w:val="0"/>
          <w:sz w:val="24"/>
          <w:szCs w:val="24"/>
          <w:highlight w:val="none"/>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14"/>
        <w:snapToGrid w:val="0"/>
        <w:spacing w:before="0"/>
        <w:ind w:left="0" w:leftChars="0" w:firstLine="0" w:firstLineChars="0"/>
        <w:rPr>
          <w:rFonts w:ascii="仿宋" w:hAnsi="仿宋" w:eastAsia="仿宋"/>
          <w:color w:val="auto"/>
          <w:kern w:val="0"/>
          <w:sz w:val="24"/>
          <w:szCs w:val="24"/>
          <w:highlight w:val="none"/>
        </w:rPr>
      </w:pPr>
      <w:r>
        <w:rPr>
          <w:rFonts w:hint="eastAsia" w:ascii="仿宋" w:eastAsia="仿宋"/>
          <w:color w:val="auto"/>
          <w:kern w:val="0"/>
          <w:sz w:val="24"/>
          <w:szCs w:val="24"/>
          <w:highlight w:val="none"/>
          <w:lang w:val="en-US" w:eastAsia="zh-CN"/>
        </w:rPr>
        <w:t>6.2.2</w:t>
      </w:r>
      <w:r>
        <w:rPr>
          <w:rFonts w:hint="eastAsia" w:ascii="仿宋" w:eastAsia="仿宋"/>
          <w:color w:val="auto"/>
          <w:kern w:val="0"/>
          <w:sz w:val="24"/>
          <w:szCs w:val="24"/>
          <w:highlight w:val="none"/>
        </w:rPr>
        <w:t>采购人和中标人不得向对方提出任何不合理的要求作为签订合同的条件。</w:t>
      </w:r>
    </w:p>
    <w:p>
      <w:pPr>
        <w:pStyle w:val="19"/>
        <w:spacing w:line="360" w:lineRule="auto"/>
        <w:ind w:left="0" w:leftChars="0" w:firstLine="0" w:firstLineChars="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lang w:val="en-US" w:eastAsia="zh-CN"/>
        </w:rPr>
        <w:t>6.3</w:t>
      </w:r>
      <w:r>
        <w:rPr>
          <w:rFonts w:hint="eastAsia" w:ascii="仿宋" w:hAnsi="仿宋" w:eastAsia="仿宋" w:cs="仿宋_GB2312"/>
          <w:b/>
          <w:color w:val="auto"/>
          <w:sz w:val="24"/>
          <w:szCs w:val="24"/>
          <w:highlight w:val="none"/>
        </w:rPr>
        <w:t>履约保证金</w:t>
      </w:r>
    </w:p>
    <w:p>
      <w:pPr>
        <w:spacing w:line="440" w:lineRule="exact"/>
        <w:ind w:firstLine="480" w:firstLineChars="200"/>
        <w:rPr>
          <w:rFonts w:hint="eastAsia" w:ascii="仿宋" w:hAnsi="仿宋" w:eastAsia="仿宋" w:cs="Helvetica"/>
          <w:color w:val="auto"/>
          <w:kern w:val="0"/>
          <w:sz w:val="24"/>
          <w:szCs w:val="24"/>
          <w:highlight w:val="none"/>
          <w:lang w:eastAsia="zh-CN"/>
        </w:rPr>
      </w:pPr>
      <w:r>
        <w:rPr>
          <w:rFonts w:hint="eastAsia" w:ascii="仿宋" w:hAnsi="仿宋" w:eastAsia="仿宋" w:cs="Helvetica"/>
          <w:color w:val="auto"/>
          <w:kern w:val="0"/>
          <w:sz w:val="24"/>
          <w:szCs w:val="24"/>
          <w:highlight w:val="none"/>
          <w:lang w:val="en-US" w:eastAsia="zh-CN"/>
        </w:rPr>
        <w:t>本项目</w:t>
      </w:r>
      <w:r>
        <w:rPr>
          <w:rFonts w:hint="eastAsia" w:ascii="仿宋" w:hAnsi="仿宋" w:eastAsia="仿宋" w:cs="Helvetica"/>
          <w:color w:val="auto"/>
          <w:kern w:val="0"/>
          <w:sz w:val="24"/>
          <w:szCs w:val="24"/>
          <w:highlight w:val="none"/>
        </w:rPr>
        <w:t>不收取履约保证金</w:t>
      </w:r>
      <w:r>
        <w:rPr>
          <w:rFonts w:hint="eastAsia" w:ascii="仿宋" w:hAnsi="仿宋" w:eastAsia="仿宋" w:cs="Helvetica"/>
          <w:color w:val="auto"/>
          <w:kern w:val="0"/>
          <w:sz w:val="24"/>
          <w:szCs w:val="24"/>
          <w:highlight w:val="none"/>
          <w:lang w:eastAsia="zh-CN"/>
        </w:rPr>
        <w:t>。</w:t>
      </w:r>
    </w:p>
    <w:p>
      <w:pPr>
        <w:pStyle w:val="2"/>
        <w:rPr>
          <w:rFonts w:hint="eastAsia"/>
          <w:color w:val="auto"/>
          <w:highlight w:val="none"/>
          <w:lang w:eastAsia="zh-CN"/>
        </w:rPr>
      </w:pPr>
    </w:p>
    <w:p>
      <w:pPr>
        <w:pStyle w:val="3"/>
        <w:spacing w:before="0" w:after="0" w:line="440" w:lineRule="exact"/>
        <w:jc w:val="center"/>
        <w:rPr>
          <w:rFonts w:hint="eastAsia" w:ascii="仿宋" w:hAnsi="仿宋" w:eastAsia="仿宋" w:cs="仿宋"/>
          <w:color w:val="auto"/>
          <w:sz w:val="28"/>
          <w:szCs w:val="28"/>
          <w:highlight w:val="none"/>
        </w:rPr>
      </w:pPr>
      <w:bookmarkStart w:id="44" w:name="_Toc519851262"/>
      <w:bookmarkStart w:id="45" w:name="_Toc23787"/>
      <w:bookmarkStart w:id="46" w:name="_Toc9479"/>
      <w:r>
        <w:rPr>
          <w:rFonts w:hint="eastAsia" w:ascii="仿宋" w:hAnsi="仿宋" w:eastAsia="仿宋" w:cs="仿宋"/>
          <w:color w:val="auto"/>
          <w:sz w:val="28"/>
          <w:szCs w:val="28"/>
          <w:highlight w:val="none"/>
        </w:rPr>
        <w:t>七、交货和提供服务的时间</w:t>
      </w:r>
      <w:bookmarkEnd w:id="44"/>
      <w:bookmarkEnd w:id="45"/>
      <w:bookmarkEnd w:id="46"/>
    </w:p>
    <w:p>
      <w:pPr>
        <w:spacing w:line="440" w:lineRule="exact"/>
        <w:ind w:firstLine="480" w:firstLineChars="200"/>
        <w:jc w:val="left"/>
        <w:rPr>
          <w:rFonts w:ascii="宋体" w:hAnsi="宋体"/>
          <w:color w:val="auto"/>
          <w:sz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7.1交货（含安装）和提供服务的时间：按采购人要求供货（含安装），延期赔偿金按</w:t>
      </w:r>
      <w:r>
        <w:rPr>
          <w:rFonts w:hint="eastAsia" w:ascii="仿宋" w:hAnsi="仿宋" w:eastAsia="仿宋" w:cs="仿宋"/>
          <w:color w:val="auto"/>
          <w:sz w:val="24"/>
          <w:szCs w:val="24"/>
          <w:highlight w:val="none"/>
          <w:u w:val="single"/>
        </w:rPr>
        <w:t xml:space="preserve"> 500 </w:t>
      </w:r>
      <w:r>
        <w:rPr>
          <w:rFonts w:hint="eastAsia" w:ascii="仿宋" w:hAnsi="仿宋" w:eastAsia="仿宋" w:cs="仿宋"/>
          <w:color w:val="auto"/>
          <w:sz w:val="24"/>
          <w:szCs w:val="24"/>
          <w:highlight w:val="none"/>
        </w:rPr>
        <w:t>元/天计。如逾期交货10天的，业主方有权解除合同。采购人由于某种原因需延长工期时，延期赔偿金可不计，中标单位也不作任何赔偿。</w:t>
      </w:r>
    </w:p>
    <w:p>
      <w:pPr>
        <w:spacing w:line="440" w:lineRule="exact"/>
        <w:rPr>
          <w:rFonts w:ascii="宋体" w:hAnsi="宋体"/>
          <w:color w:val="auto"/>
          <w:sz w:val="24"/>
          <w:highlight w:val="none"/>
        </w:rPr>
      </w:pPr>
    </w:p>
    <w:p>
      <w:pPr>
        <w:pStyle w:val="3"/>
        <w:spacing w:before="0" w:after="0" w:line="440" w:lineRule="exact"/>
        <w:jc w:val="center"/>
        <w:rPr>
          <w:rFonts w:hint="eastAsia" w:ascii="仿宋" w:hAnsi="仿宋" w:eastAsia="仿宋" w:cs="仿宋"/>
          <w:color w:val="auto"/>
          <w:sz w:val="28"/>
          <w:szCs w:val="28"/>
          <w:highlight w:val="none"/>
        </w:rPr>
      </w:pPr>
      <w:bookmarkStart w:id="47" w:name="_Toc13973"/>
      <w:bookmarkStart w:id="48" w:name="_Toc264116918"/>
      <w:bookmarkStart w:id="49" w:name="_Toc504340787"/>
      <w:bookmarkStart w:id="50" w:name="_Toc8621"/>
      <w:bookmarkStart w:id="51" w:name="_Toc6125"/>
      <w:r>
        <w:rPr>
          <w:rFonts w:hint="eastAsia" w:ascii="仿宋" w:hAnsi="仿宋" w:eastAsia="仿宋" w:cs="仿宋"/>
          <w:color w:val="auto"/>
          <w:sz w:val="28"/>
          <w:szCs w:val="28"/>
          <w:highlight w:val="none"/>
        </w:rPr>
        <w:t>八、评标方法、评标标准和废标条款</w:t>
      </w:r>
      <w:bookmarkEnd w:id="47"/>
      <w:bookmarkEnd w:id="48"/>
      <w:bookmarkEnd w:id="49"/>
      <w:bookmarkEnd w:id="50"/>
      <w:bookmarkEnd w:id="51"/>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8.1开标：</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w:t>
      </w:r>
      <w:r>
        <w:rPr>
          <w:rFonts w:hint="eastAsia" w:ascii="仿宋" w:hAnsi="仿宋" w:eastAsia="仿宋" w:cs="仿宋"/>
          <w:b/>
          <w:color w:val="auto"/>
          <w:sz w:val="24"/>
          <w:szCs w:val="24"/>
          <w:highlight w:val="none"/>
        </w:rPr>
        <w:t>在投标截止时间前按规定提交投标文件的供应商在</w:t>
      </w:r>
      <w:r>
        <w:rPr>
          <w:rFonts w:hint="eastAsia" w:ascii="仿宋" w:hAnsi="仿宋" w:eastAsia="仿宋" w:cs="仿宋"/>
          <w:b/>
          <w:color w:val="auto"/>
          <w:sz w:val="24"/>
          <w:szCs w:val="24"/>
          <w:highlight w:val="none"/>
          <w:u w:val="single"/>
        </w:rPr>
        <w:t>三</w:t>
      </w:r>
      <w:r>
        <w:rPr>
          <w:rFonts w:hint="eastAsia" w:ascii="仿宋" w:hAnsi="仿宋" w:eastAsia="仿宋" w:cs="仿宋"/>
          <w:b/>
          <w:color w:val="auto"/>
          <w:sz w:val="24"/>
          <w:szCs w:val="24"/>
          <w:highlight w:val="none"/>
        </w:rPr>
        <w:t>家及以上的</w:t>
      </w:r>
      <w:r>
        <w:rPr>
          <w:rFonts w:hint="eastAsia" w:ascii="仿宋" w:hAnsi="仿宋" w:eastAsia="仿宋" w:cs="仿宋"/>
          <w:color w:val="auto"/>
          <w:sz w:val="24"/>
          <w:szCs w:val="24"/>
          <w:highlight w:val="none"/>
        </w:rPr>
        <w:t>，由采购人组织进行开标。</w:t>
      </w:r>
    </w:p>
    <w:p>
      <w:pPr>
        <w:spacing w:line="440" w:lineRule="exact"/>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 采购人按采购文件规定的时间和地点公开开标。开标会由采购人主持，采购人代表、评委、委托方代表及有关工作人员参加。供应商代表不用参加开标会。</w:t>
      </w:r>
    </w:p>
    <w:p>
      <w:pPr>
        <w:spacing w:line="440" w:lineRule="exact"/>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8.1.3 开标时，由采购人或者采购代理机构检查投标文件的密封情况及对供应商资格进行审查，并通过“信用中国”网站(www.creditchina.gov.cn)、中国政府采购网(www.ccgp.gov.cn)查询相关投标人信用记录，对供应商信用记录进行甄别。</w:t>
      </w:r>
    </w:p>
    <w:p>
      <w:pPr>
        <w:spacing w:line="440" w:lineRule="exact"/>
        <w:ind w:firstLine="475" w:firstLineChars="197"/>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8.1.4开标顺序为：先查验资信证明文件、其次开商务技术标、最后开价格标。资格（资信）证明文件或技术标经过评标委员会评审未获通过的，将不再开启价格标。</w:t>
      </w:r>
    </w:p>
    <w:p>
      <w:pPr>
        <w:spacing w:line="440" w:lineRule="exact"/>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评标：</w:t>
      </w:r>
    </w:p>
    <w:p>
      <w:pPr>
        <w:pStyle w:val="2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8.2.1</w:t>
      </w:r>
      <w:r>
        <w:rPr>
          <w:rFonts w:hint="eastAsia" w:ascii="仿宋" w:hAnsi="仿宋" w:eastAsia="仿宋" w:cs="仿宋"/>
          <w:color w:val="auto"/>
          <w:sz w:val="24"/>
          <w:szCs w:val="24"/>
          <w:highlight w:val="none"/>
        </w:rPr>
        <w:t>采购人将组织评标委员会进行评标，依照本采购文件规定进行审查、评议；</w:t>
      </w:r>
    </w:p>
    <w:p>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 将从以下几方面对有效的投标文件进行综合评判：</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8.2.2.1 供应商详细的安装实施方案和实施计划；</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8.2.2.2 投标价格是否具有优势；</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8.2.2.3 对采购文件中的付款方式是否响应，如不响应将被拒绝；</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8.2.2.4 供应商的综合实力、业绩及信誉等；</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8.2.2.5 售后服务承诺是否完整、真实、可行；</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8.2.2.6 投标文件是否完整、真实、整洁。</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8.2.2.7 投标货物的性能优劣。</w:t>
      </w:r>
    </w:p>
    <w:p>
      <w:pPr>
        <w:spacing w:line="440" w:lineRule="exact"/>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8.2.3 与采购文件有重大偏离的投标文件将被拒绝。</w:t>
      </w:r>
    </w:p>
    <w:p>
      <w:pPr>
        <w:tabs>
          <w:tab w:val="left" w:pos="37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定标方式：</w:t>
      </w:r>
    </w:p>
    <w:p>
      <w:pPr>
        <w:spacing w:line="44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u w:val="single"/>
        </w:rPr>
        <w:t>定标采用：采用综合评分法</w:t>
      </w:r>
      <w:r>
        <w:rPr>
          <w:rFonts w:hint="eastAsia" w:ascii="仿宋" w:hAnsi="仿宋" w:eastAsia="仿宋" w:cs="仿宋"/>
          <w:bCs/>
          <w:color w:val="auto"/>
          <w:sz w:val="24"/>
          <w:szCs w:val="24"/>
          <w:highlight w:val="none"/>
          <w:u w:val="single"/>
        </w:rPr>
        <w:t>。</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投标人根据采购人所需的</w:t>
      </w:r>
      <w:r>
        <w:rPr>
          <w:rFonts w:hint="eastAsia" w:ascii="仿宋" w:hAnsi="仿宋" w:eastAsia="仿宋" w:cs="仿宋"/>
          <w:color w:val="auto"/>
          <w:sz w:val="24"/>
          <w:szCs w:val="24"/>
          <w:highlight w:val="none"/>
          <w:u w:val="single"/>
          <w:lang w:eastAsia="zh-CN"/>
        </w:rPr>
        <w:t>绍兴轨道交通一号线柯桥段招商宣传及活动策划执行服务项目</w:t>
      </w:r>
      <w:r>
        <w:rPr>
          <w:rFonts w:hint="eastAsia" w:ascii="仿宋" w:hAnsi="仿宋" w:eastAsia="仿宋" w:cs="仿宋"/>
          <w:color w:val="auto"/>
          <w:sz w:val="24"/>
          <w:szCs w:val="24"/>
          <w:highlight w:val="none"/>
          <w:u w:val="single"/>
        </w:rPr>
        <w:t>的技术</w:t>
      </w:r>
      <w:r>
        <w:rPr>
          <w:rFonts w:hint="eastAsia" w:ascii="仿宋" w:hAnsi="仿宋" w:eastAsia="仿宋" w:cs="仿宋"/>
          <w:color w:val="auto"/>
          <w:sz w:val="24"/>
          <w:szCs w:val="24"/>
          <w:highlight w:val="none"/>
          <w:u w:val="single"/>
          <w:lang w:val="en-US" w:eastAsia="zh-CN"/>
        </w:rPr>
        <w:t>要求</w:t>
      </w:r>
      <w:r>
        <w:rPr>
          <w:rFonts w:hint="eastAsia" w:ascii="仿宋" w:hAnsi="仿宋" w:eastAsia="仿宋" w:cs="仿宋"/>
          <w:color w:val="auto"/>
          <w:sz w:val="24"/>
          <w:szCs w:val="24"/>
          <w:highlight w:val="none"/>
          <w:u w:val="single"/>
        </w:rPr>
        <w:t>等要求进行标书制作和报价。</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8.3.2经评标委员会综合评定后，以总得分最高者为第一中标候选人，若最高总得分出现并列时，以报价低者为第一中标候选人；若最高总得分与报价均相同时，由采购人当场随机抽签选定第一中标候选人。</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8.3.3具体评分方式详见“评标办法”。</w:t>
      </w:r>
    </w:p>
    <w:p>
      <w:pPr>
        <w:spacing w:line="440" w:lineRule="exact"/>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定标：按本采购文件“8.3定标方式”规定确定中标者。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 出现下列情形之一的，采购人将予以废标。</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8.5.1在投标截止时间前，按规定提交投标文件的供应商不足三家的；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8.5.2供应商的报价均超过了采购人上限价或采购预算，采购人不能支付的；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8.5.3出现影响采购公正的违法、违规行为的。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采购人不向供应商解释未中标的原因，不退还投标文件。</w:t>
      </w:r>
    </w:p>
    <w:p>
      <w:pPr>
        <w:spacing w:line="440" w:lineRule="exact"/>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8.7投标文件有下列情况之一，经认定属未实质性响应采购文件的，将视为无效：</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8.7.1投标文件正本或正本的</w:t>
      </w:r>
      <w:r>
        <w:rPr>
          <w:rFonts w:hint="eastAsia" w:ascii="仿宋" w:hAnsi="仿宋" w:eastAsia="仿宋" w:cs="仿宋"/>
          <w:color w:val="auto"/>
          <w:sz w:val="24"/>
          <w:szCs w:val="24"/>
          <w:highlight w:val="none"/>
          <w:lang w:eastAsia="zh-CN"/>
        </w:rPr>
        <w:t>投标（开标）一览表</w:t>
      </w:r>
      <w:r>
        <w:rPr>
          <w:rFonts w:hint="eastAsia" w:ascii="仿宋" w:hAnsi="仿宋" w:eastAsia="仿宋" w:cs="仿宋"/>
          <w:color w:val="auto"/>
          <w:sz w:val="24"/>
          <w:szCs w:val="24"/>
          <w:highlight w:val="none"/>
        </w:rPr>
        <w:t>未加盖供应商公章的；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8.7.2 未按采购文件规定填写，内容不全或关键字迹模糊、无法辨认的；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8.7.3 供应商递交两份或多份内容不同的投标文件，或在一份投标文件中对同一采购项目报有两个或多个报价，且未声明哪一个有效；</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8.7.4 供应商名称或组织机构与资格预审时不一致的；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8.7.5 投标文件未按采购文件要求封装、提交的。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8.7.6 不具备采购文件中规定资格要求或未按采购文件要求提供资格、资信证明文件的。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8.7.7 不符合法律、法规和采购文件中规定的其他实质性要求的。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采购代理机构应当在评标结束后两个工作日内将评标报告送采购人。</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8.9 采购人应当在收到评标报告后五个工作日内，在评标报告推荐的中标候选人中确定中标供应商。</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ascii="宋体" w:hAnsi="宋体"/>
          <w:color w:val="auto"/>
          <w:sz w:val="24"/>
          <w:highlight w:val="none"/>
        </w:rPr>
      </w:pPr>
    </w:p>
    <w:p>
      <w:pPr>
        <w:pStyle w:val="3"/>
        <w:tabs>
          <w:tab w:val="left" w:pos="851"/>
        </w:tabs>
        <w:spacing w:before="0" w:after="0" w:line="440" w:lineRule="exact"/>
        <w:jc w:val="center"/>
        <w:rPr>
          <w:rFonts w:hint="eastAsia" w:ascii="仿宋" w:hAnsi="仿宋" w:eastAsia="仿宋" w:cs="仿宋"/>
          <w:color w:val="auto"/>
          <w:sz w:val="28"/>
          <w:szCs w:val="28"/>
          <w:highlight w:val="none"/>
        </w:rPr>
      </w:pPr>
      <w:bookmarkStart w:id="52" w:name="_Toc15846"/>
      <w:bookmarkStart w:id="53" w:name="_Toc29609"/>
      <w:bookmarkStart w:id="54" w:name="_Toc519851264"/>
      <w:bookmarkStart w:id="55" w:name="_Toc264116919"/>
      <w:bookmarkStart w:id="56" w:name="_Toc26984"/>
      <w:bookmarkStart w:id="57" w:name="_Toc25025"/>
      <w:r>
        <w:rPr>
          <w:rFonts w:hint="eastAsia" w:ascii="仿宋" w:hAnsi="仿宋" w:eastAsia="仿宋" w:cs="仿宋"/>
          <w:color w:val="auto"/>
          <w:sz w:val="28"/>
          <w:szCs w:val="28"/>
          <w:highlight w:val="none"/>
        </w:rPr>
        <w:t>九、投标截止时间、开标时间及地点</w:t>
      </w:r>
      <w:bookmarkEnd w:id="52"/>
      <w:bookmarkEnd w:id="53"/>
      <w:bookmarkEnd w:id="54"/>
      <w:bookmarkEnd w:id="55"/>
      <w:bookmarkEnd w:id="56"/>
      <w:bookmarkEnd w:id="57"/>
    </w:p>
    <w:p>
      <w:pPr>
        <w:rPr>
          <w:rFonts w:hint="eastAsia" w:ascii="仿宋" w:hAnsi="仿宋" w:eastAsia="仿宋" w:cs="仿宋"/>
          <w:color w:val="auto"/>
          <w:highlight w:val="none"/>
        </w:rPr>
      </w:pPr>
    </w:p>
    <w:p>
      <w:pPr>
        <w:pStyle w:val="23"/>
        <w:tabs>
          <w:tab w:val="left" w:pos="7020"/>
        </w:tabs>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9.1投标文件递交截止时间：详见前附表。</w:t>
      </w:r>
    </w:p>
    <w:p>
      <w:pPr>
        <w:pStyle w:val="23"/>
        <w:tabs>
          <w:tab w:val="left" w:pos="7020"/>
        </w:tabs>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9.2开标时间：详见前附表。</w:t>
      </w:r>
    </w:p>
    <w:p>
      <w:pPr>
        <w:pStyle w:val="23"/>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9.3开标地点：详见前附表。</w:t>
      </w:r>
    </w:p>
    <w:p>
      <w:pPr>
        <w:pStyle w:val="23"/>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9.4采购人在投标截止时间以后收到的任何投标文件，将予以拒绝，并原封退回投标供应商。</w:t>
      </w:r>
      <w:bookmarkStart w:id="58" w:name="_Toc264116920"/>
      <w:bookmarkStart w:id="59" w:name="_Toc10488"/>
      <w:bookmarkStart w:id="60" w:name="_Toc519851265"/>
      <w:bookmarkStart w:id="61" w:name="_Toc31352"/>
    </w:p>
    <w:p>
      <w:pPr>
        <w:pStyle w:val="3"/>
        <w:tabs>
          <w:tab w:val="left" w:pos="851"/>
        </w:tabs>
        <w:spacing w:before="0" w:after="0" w:line="440" w:lineRule="exact"/>
        <w:jc w:val="center"/>
        <w:rPr>
          <w:rFonts w:hint="eastAsia" w:ascii="仿宋" w:hAnsi="仿宋" w:eastAsia="仿宋" w:cs="仿宋"/>
          <w:color w:val="auto"/>
          <w:sz w:val="28"/>
          <w:szCs w:val="28"/>
          <w:highlight w:val="none"/>
        </w:rPr>
      </w:pPr>
      <w:bookmarkStart w:id="62" w:name="_Toc10139"/>
      <w:bookmarkStart w:id="63" w:name="_Toc7984"/>
      <w:r>
        <w:rPr>
          <w:rFonts w:hint="eastAsia" w:ascii="仿宋" w:hAnsi="仿宋" w:eastAsia="仿宋" w:cs="仿宋"/>
          <w:color w:val="auto"/>
          <w:sz w:val="28"/>
          <w:szCs w:val="28"/>
          <w:highlight w:val="none"/>
        </w:rPr>
        <w:t>十、其他事项</w:t>
      </w:r>
      <w:bookmarkEnd w:id="58"/>
      <w:bookmarkEnd w:id="59"/>
      <w:bookmarkEnd w:id="60"/>
      <w:bookmarkEnd w:id="61"/>
      <w:bookmarkEnd w:id="62"/>
      <w:bookmarkEnd w:id="63"/>
    </w:p>
    <w:p>
      <w:pPr>
        <w:rPr>
          <w:rFonts w:hint="eastAsia" w:ascii="仿宋" w:hAnsi="仿宋" w:eastAsia="仿宋" w:cs="仿宋"/>
          <w:color w:val="auto"/>
          <w:highlight w:val="none"/>
        </w:rPr>
      </w:pPr>
    </w:p>
    <w:p>
      <w:pPr>
        <w:spacing w:line="440" w:lineRule="exact"/>
        <w:ind w:firstLine="472" w:firstLineChars="197"/>
        <w:rPr>
          <w:rFonts w:hint="eastAsia" w:ascii="仿宋" w:hAnsi="仿宋" w:eastAsia="仿宋" w:cs="仿宋"/>
          <w:color w:val="auto"/>
          <w:sz w:val="24"/>
          <w:highlight w:val="none"/>
        </w:rPr>
      </w:pPr>
      <w:r>
        <w:rPr>
          <w:rFonts w:hint="eastAsia" w:ascii="仿宋" w:hAnsi="仿宋" w:eastAsia="仿宋" w:cs="仿宋"/>
          <w:color w:val="auto"/>
          <w:sz w:val="24"/>
          <w:highlight w:val="none"/>
        </w:rPr>
        <w:t>10.1本标文未尽事宜，另行以在书面形式补充说明，并按照《中华人民共和国政府采购法》的基本原则和精神执行。</w:t>
      </w:r>
    </w:p>
    <w:p>
      <w:pPr>
        <w:spacing w:line="440" w:lineRule="exact"/>
        <w:ind w:firstLine="472" w:firstLineChars="19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10.2凡已办理</w:t>
      </w:r>
      <w:r>
        <w:rPr>
          <w:rFonts w:hint="eastAsia" w:ascii="仿宋" w:hAnsi="仿宋" w:eastAsia="仿宋" w:cs="仿宋"/>
          <w:color w:val="auto"/>
          <w:sz w:val="24"/>
          <w:highlight w:val="none"/>
          <w:lang w:val="en-US" w:eastAsia="zh-CN"/>
        </w:rPr>
        <w:t>招标文件获取</w:t>
      </w:r>
      <w:r>
        <w:rPr>
          <w:rFonts w:hint="eastAsia" w:ascii="仿宋" w:hAnsi="仿宋" w:eastAsia="仿宋" w:cs="仿宋"/>
          <w:color w:val="auto"/>
          <w:sz w:val="24"/>
          <w:highlight w:val="none"/>
        </w:rPr>
        <w:t>手续并参加开标会的投标供应商，均视同对本标文及评标办法的认可，无异议。</w:t>
      </w:r>
    </w:p>
    <w:p>
      <w:pPr>
        <w:spacing w:line="440" w:lineRule="exact"/>
        <w:ind w:firstLine="3590" w:firstLineChars="1496"/>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lang w:eastAsia="zh-CN"/>
        </w:rPr>
        <w:t>绍兴市柯桥区轨道交通集团有限公司</w:t>
      </w:r>
    </w:p>
    <w:p>
      <w:pPr>
        <w:spacing w:line="440" w:lineRule="exact"/>
        <w:ind w:firstLine="2992" w:firstLineChars="1247"/>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single"/>
          <w:lang w:val="en-US" w:eastAsia="zh-CN"/>
        </w:rPr>
        <w:t>浙江中兴工程项目管理有限公司</w:t>
      </w:r>
    </w:p>
    <w:p>
      <w:pPr>
        <w:pStyle w:val="25"/>
        <w:widowControl/>
        <w:spacing w:line="440" w:lineRule="exact"/>
        <w:ind w:left="5250" w:firstLine="960" w:firstLineChars="400"/>
        <w:jc w:val="left"/>
        <w:rPr>
          <w:rFonts w:ascii="宋体" w:hAnsi="宋体"/>
          <w:color w:val="auto"/>
          <w:spacing w:val="-20"/>
          <w:kern w:val="28"/>
          <w:sz w:val="44"/>
          <w:szCs w:val="44"/>
          <w:highlight w:val="none"/>
        </w:rPr>
      </w:pP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 xml:space="preserve">2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bookmarkStart w:id="64" w:name="_Toc519851266"/>
    </w:p>
    <w:p>
      <w:pPr>
        <w:bidi w:val="0"/>
        <w:rPr>
          <w:rFonts w:hint="eastAsia"/>
          <w:color w:val="auto"/>
          <w:highlight w:val="none"/>
          <w:lang w:val="en-US" w:eastAsia="zh-CN"/>
        </w:rPr>
      </w:pPr>
    </w:p>
    <w:p>
      <w:pPr>
        <w:bidi w:val="0"/>
        <w:rPr>
          <w:rFonts w:hint="eastAsia"/>
          <w:color w:val="auto"/>
          <w:highlight w:val="none"/>
          <w:lang w:val="en-US" w:eastAsia="zh-CN"/>
        </w:rPr>
      </w:pPr>
    </w:p>
    <w:p>
      <w:pPr>
        <w:pStyle w:val="2"/>
        <w:rPr>
          <w:rFonts w:hint="eastAsia"/>
          <w:color w:val="auto"/>
          <w:highlight w:val="none"/>
          <w:lang w:val="en-US" w:eastAsia="zh-CN"/>
        </w:rPr>
      </w:pPr>
    </w:p>
    <w:p>
      <w:pPr>
        <w:pStyle w:val="2"/>
        <w:ind w:left="0" w:leftChars="0" w:firstLine="0" w:firstLineChars="0"/>
        <w:rPr>
          <w:rFonts w:hint="eastAsia"/>
          <w:color w:val="auto"/>
          <w:highlight w:val="none"/>
          <w:lang w:val="en-US" w:eastAsia="zh-CN"/>
        </w:rPr>
      </w:pPr>
    </w:p>
    <w:p>
      <w:pPr>
        <w:bidi w:val="0"/>
        <w:rPr>
          <w:rFonts w:hint="eastAsia"/>
          <w:color w:val="auto"/>
          <w:highlight w:val="none"/>
          <w:lang w:val="en-US" w:eastAsia="zh-CN"/>
        </w:rPr>
      </w:pPr>
    </w:p>
    <w:bookmarkEnd w:id="64"/>
    <w:p>
      <w:pPr>
        <w:pStyle w:val="3"/>
        <w:tabs>
          <w:tab w:val="left" w:pos="851"/>
        </w:tabs>
        <w:spacing w:before="0" w:after="0" w:line="440" w:lineRule="exact"/>
        <w:jc w:val="center"/>
        <w:rPr>
          <w:rFonts w:hint="eastAsia" w:ascii="仿宋" w:hAnsi="仿宋" w:eastAsia="仿宋" w:cs="仿宋"/>
          <w:color w:val="auto"/>
          <w:sz w:val="28"/>
          <w:szCs w:val="28"/>
          <w:highlight w:val="none"/>
        </w:rPr>
      </w:pPr>
      <w:bookmarkStart w:id="65" w:name="_Toc29304"/>
      <w:bookmarkStart w:id="66" w:name="_Toc14629"/>
      <w:r>
        <w:rPr>
          <w:rFonts w:hint="eastAsia" w:ascii="仿宋" w:hAnsi="仿宋" w:eastAsia="仿宋" w:cs="仿宋"/>
          <w:color w:val="auto"/>
          <w:sz w:val="28"/>
          <w:szCs w:val="28"/>
          <w:highlight w:val="none"/>
          <w:lang w:val="en-US" w:eastAsia="zh-CN"/>
        </w:rPr>
        <w:t>十一</w:t>
      </w:r>
      <w:r>
        <w:rPr>
          <w:rFonts w:hint="eastAsia" w:ascii="仿宋" w:hAnsi="仿宋" w:eastAsia="仿宋" w:cs="仿宋"/>
          <w:color w:val="auto"/>
          <w:sz w:val="28"/>
          <w:szCs w:val="28"/>
          <w:highlight w:val="none"/>
        </w:rPr>
        <w:t>：评标办法及评分标准</w:t>
      </w:r>
      <w:bookmarkEnd w:id="65"/>
      <w:bookmarkEnd w:id="66"/>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根据《中华人民共和国招标投标法》等有关法律法规，结合本项目的实际，按照公正、公平、科学的原则择优选择中标供应商，特制定本评标办法。</w:t>
      </w:r>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一、总则</w:t>
      </w:r>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工作必须遵循公平、公正的竞争原则。最大限度地保护当事人的权益，评标委员会应严格按照招标文件的技术标、价格标要求，对投标文件进行综合分析评价。评标人员必须严格遵守保密规定，不得泄露评标有关的情况，不得索贿，不得参加影响评标的任何活动。</w:t>
      </w:r>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二、评标组织</w:t>
      </w:r>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评标委员会：评标委员会按相关规定共由5人及以上单数组成。</w:t>
      </w:r>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三、评标程序</w:t>
      </w:r>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后，首先验证供应商资格，评标委员会对投标书进行符合性审查。再对供应商资质、资信、及方案进行评审；凡投标书设备、技术的实质性内容严重不符合招标文件规定或不响应招标文件要求者，经评标委员会及采购人认定，作为无效投标予以废除。</w:t>
      </w:r>
    </w:p>
    <w:p>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2、采用综合评分法，评标委员会委员将根据供应商的技术标等内容对投标文件进行分析、评议、打分，如有疑问，将以邮件形式对供应商进行询标，供应商</w:t>
      </w:r>
      <w:r>
        <w:rPr>
          <w:rFonts w:hint="eastAsia" w:ascii="仿宋" w:hAnsi="仿宋" w:eastAsia="仿宋" w:cs="仿宋"/>
          <w:color w:val="auto"/>
          <w:sz w:val="24"/>
          <w:szCs w:val="24"/>
          <w:highlight w:val="none"/>
        </w:rPr>
        <w:t>应在（30分钟内）通过电子邮件等书面形式</w:t>
      </w:r>
      <w:r>
        <w:rPr>
          <w:rFonts w:hint="eastAsia" w:ascii="仿宋" w:hAnsi="仿宋" w:eastAsia="仿宋" w:cs="仿宋"/>
          <w:color w:val="auto"/>
          <w:sz w:val="24"/>
          <w:highlight w:val="none"/>
        </w:rPr>
        <w:t>向评标委员会澄清有关问题。技术标评审结束后，依次开价格标，评标委员会委员审核价格标，并计算分值。</w:t>
      </w:r>
    </w:p>
    <w:p>
      <w:pPr>
        <w:pStyle w:val="137"/>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3、具体评审步骤和方法：</w:t>
      </w:r>
    </w:p>
    <w:p>
      <w:pPr>
        <w:pStyle w:val="1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①第一步，由评标委员会对通过资格审查的供应商的商务技术标进行评审打分。</w:t>
      </w:r>
    </w:p>
    <w:p>
      <w:pPr>
        <w:pStyle w:val="1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②第二步，开启价格标，对各供应商的价格标由评标委员会统一评审进行计算评分。</w:t>
      </w:r>
    </w:p>
    <w:p>
      <w:pPr>
        <w:pStyle w:val="1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③第三步，计算出各供应商的总得分。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4、编写评标报告。</w:t>
      </w:r>
    </w:p>
    <w:p>
      <w:pPr>
        <w:spacing w:line="440" w:lineRule="exact"/>
        <w:ind w:firstLine="48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四、评分项目说明</w:t>
      </w:r>
    </w:p>
    <w:p>
      <w:pPr>
        <w:spacing w:line="440" w:lineRule="exact"/>
        <w:ind w:firstLine="48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1、技术分+价格分总分为100分，评标委员会成员评分在得分栏中填上分值。</w:t>
      </w:r>
    </w:p>
    <w:p>
      <w:pPr>
        <w:spacing w:line="440" w:lineRule="exact"/>
        <w:ind w:firstLine="48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2、技术标70%，即满分70分。评标委员会成员按各供应商的技术标内容充分审核、讨论、评议后，按评分细则进行独立评判、打分。</w:t>
      </w:r>
    </w:p>
    <w:p>
      <w:pPr>
        <w:spacing w:line="440" w:lineRule="exact"/>
        <w:ind w:firstLine="48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3、价格标30%，即满分30分。评标委员会成员按评分细则对各供应商的报价进行统一计算评分。</w:t>
      </w:r>
    </w:p>
    <w:p>
      <w:pPr>
        <w:spacing w:line="440" w:lineRule="exact"/>
        <w:ind w:firstLine="48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4、专家打分分值保留小数点后1位。统计或计算分值时的精度最终精确到小数点后2位。</w:t>
      </w:r>
    </w:p>
    <w:p>
      <w:pPr>
        <w:spacing w:line="440" w:lineRule="exact"/>
        <w:ind w:firstLine="424" w:firstLineChars="176"/>
        <w:rPr>
          <w:rFonts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、商务技术标</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0%，即满分</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0分。</w:t>
      </w:r>
    </w:p>
    <w:tbl>
      <w:tblPr>
        <w:tblStyle w:val="4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499"/>
        <w:gridCol w:w="661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4" w:type="dxa"/>
            <w:noWrap w:val="0"/>
            <w:vAlign w:val="center"/>
          </w:tcPr>
          <w:p>
            <w:pPr>
              <w:widowControl/>
              <w:adjustRightInd w:val="0"/>
              <w:spacing w:line="360" w:lineRule="auto"/>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序号</w:t>
            </w:r>
          </w:p>
        </w:tc>
        <w:tc>
          <w:tcPr>
            <w:tcW w:w="1499" w:type="dxa"/>
            <w:noWrap w:val="0"/>
            <w:vAlign w:val="center"/>
          </w:tcPr>
          <w:p>
            <w:pPr>
              <w:adjustRightInd w:val="0"/>
              <w:spacing w:line="360" w:lineRule="auto"/>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项目</w:t>
            </w:r>
          </w:p>
        </w:tc>
        <w:tc>
          <w:tcPr>
            <w:tcW w:w="6611" w:type="dxa"/>
            <w:noWrap w:val="0"/>
            <w:vAlign w:val="center"/>
          </w:tcPr>
          <w:p>
            <w:pPr>
              <w:adjustRightInd w:val="0"/>
              <w:spacing w:line="360" w:lineRule="auto"/>
              <w:ind w:firstLine="482" w:firstLineChars="20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评分细则</w:t>
            </w:r>
          </w:p>
        </w:tc>
        <w:tc>
          <w:tcPr>
            <w:tcW w:w="750" w:type="dxa"/>
            <w:noWrap w:val="0"/>
            <w:vAlign w:val="center"/>
          </w:tcPr>
          <w:p>
            <w:pPr>
              <w:widowControl/>
              <w:adjustRightInd w:val="0"/>
              <w:spacing w:line="360" w:lineRule="auto"/>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64" w:type="dxa"/>
            <w:noWrap w:val="0"/>
            <w:vAlign w:val="center"/>
          </w:tcPr>
          <w:p>
            <w:pPr>
              <w:widowControl/>
              <w:adjustRightInd w:val="0"/>
              <w:spacing w:line="360" w:lineRule="auto"/>
              <w:jc w:val="center"/>
              <w:rPr>
                <w:rFonts w:ascii="仿宋" w:hAnsi="仿宋" w:eastAsia="仿宋" w:cs="仿宋_GB2312"/>
                <w:b/>
                <w:color w:val="auto"/>
                <w:sz w:val="24"/>
                <w:szCs w:val="24"/>
                <w:highlight w:val="none"/>
              </w:rPr>
            </w:pPr>
            <w:r>
              <w:rPr>
                <w:rFonts w:hint="eastAsia" w:ascii="宋体" w:hAnsi="宋体" w:eastAsia="宋体" w:cs="宋体"/>
                <w:color w:val="auto"/>
                <w:szCs w:val="21"/>
                <w:highlight w:val="none"/>
              </w:rPr>
              <w:t>1</w:t>
            </w:r>
          </w:p>
        </w:tc>
        <w:tc>
          <w:tcPr>
            <w:tcW w:w="1499" w:type="dxa"/>
            <w:noWrap w:val="0"/>
            <w:vAlign w:val="center"/>
          </w:tcPr>
          <w:p>
            <w:pPr>
              <w:adjustRightInd w:val="0"/>
              <w:jc w:val="center"/>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投标企业情况</w:t>
            </w:r>
          </w:p>
        </w:tc>
        <w:tc>
          <w:tcPr>
            <w:tcW w:w="6611" w:type="dxa"/>
            <w:noWrap w:val="0"/>
            <w:vAlign w:val="center"/>
          </w:tcPr>
          <w:p>
            <w:pPr>
              <w:adjustRightIn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投标人具有质量管理体系认证证书、环境管理体系认证证书每提供1项得2分，最多得</w:t>
            </w:r>
            <w:r>
              <w:rPr>
                <w:rFonts w:hint="eastAsia" w:ascii="仿宋" w:hAnsi="仿宋" w:eastAsia="仿宋" w:cs="仿宋_GB2312"/>
                <w:color w:val="auto"/>
                <w:kern w:val="0"/>
                <w:sz w:val="24"/>
                <w:szCs w:val="24"/>
                <w:highlight w:val="none"/>
                <w:lang w:val="en-US" w:eastAsia="zh-CN"/>
              </w:rPr>
              <w:t>4</w:t>
            </w:r>
            <w:r>
              <w:rPr>
                <w:rFonts w:hint="eastAsia" w:ascii="仿宋" w:hAnsi="仿宋" w:eastAsia="仿宋" w:cs="仿宋_GB2312"/>
                <w:color w:val="auto"/>
                <w:kern w:val="0"/>
                <w:sz w:val="24"/>
                <w:szCs w:val="24"/>
                <w:highlight w:val="none"/>
              </w:rPr>
              <w:t>分。</w:t>
            </w:r>
          </w:p>
          <w:p>
            <w:pPr>
              <w:adjustRightIn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注：</w:t>
            </w:r>
            <w:r>
              <w:rPr>
                <w:rFonts w:hint="eastAsia" w:ascii="仿宋" w:hAnsi="仿宋" w:eastAsia="仿宋" w:cs="仿宋_GB2312"/>
                <w:color w:val="auto"/>
                <w:kern w:val="0"/>
                <w:sz w:val="24"/>
                <w:szCs w:val="24"/>
                <w:highlight w:val="none"/>
                <w:lang w:eastAsia="zh-CN"/>
              </w:rPr>
              <w:t>提供扫描件并加盖单位公章</w:t>
            </w:r>
            <w:r>
              <w:rPr>
                <w:rFonts w:hint="eastAsia" w:ascii="仿宋" w:hAnsi="仿宋" w:eastAsia="仿宋" w:cs="仿宋_GB2312"/>
                <w:color w:val="auto"/>
                <w:kern w:val="0"/>
                <w:sz w:val="24"/>
                <w:szCs w:val="24"/>
                <w:highlight w:val="none"/>
              </w:rPr>
              <w:t>，不提供或未在有效期范围内不得分。</w:t>
            </w:r>
          </w:p>
        </w:tc>
        <w:tc>
          <w:tcPr>
            <w:tcW w:w="750" w:type="dxa"/>
            <w:noWrap w:val="0"/>
            <w:vAlign w:val="center"/>
          </w:tcPr>
          <w:p>
            <w:pPr>
              <w:widowControl/>
              <w:adjustRightInd w:val="0"/>
              <w:spacing w:line="360" w:lineRule="auto"/>
              <w:jc w:val="center"/>
              <w:rPr>
                <w:rFonts w:hint="eastAsia" w:ascii="仿宋" w:hAnsi="仿宋" w:eastAsia="仿宋" w:cs="仿宋_GB2312"/>
                <w:b/>
                <w:color w:val="auto"/>
                <w:sz w:val="24"/>
                <w:szCs w:val="24"/>
                <w:highlight w:val="none"/>
                <w:lang w:val="en-US" w:eastAsia="zh-CN"/>
              </w:rPr>
            </w:pPr>
            <w:r>
              <w:rPr>
                <w:rFonts w:hint="eastAsia" w:ascii="仿宋" w:hAnsi="仿宋" w:eastAsia="仿宋" w:cs="仿宋_GB2312"/>
                <w:b w:val="0"/>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adjustRightInd w:val="0"/>
              <w:jc w:val="center"/>
              <w:rPr>
                <w:rFonts w:ascii="仿宋" w:hAnsi="仿宋" w:eastAsia="仿宋" w:cs="仿宋_GB2312"/>
                <w:color w:val="auto"/>
                <w:kern w:val="0"/>
                <w:sz w:val="24"/>
                <w:szCs w:val="24"/>
                <w:highlight w:val="none"/>
                <w:lang w:val="en-US" w:eastAsia="zh-CN" w:bidi="ar-SA"/>
              </w:rPr>
            </w:pPr>
            <w:r>
              <w:rPr>
                <w:rFonts w:hint="eastAsia" w:ascii="仿宋" w:hAnsi="仿宋" w:eastAsia="仿宋" w:cs="仿宋_GB2312"/>
                <w:color w:val="auto"/>
                <w:kern w:val="0"/>
                <w:sz w:val="24"/>
                <w:szCs w:val="24"/>
                <w:highlight w:val="none"/>
              </w:rPr>
              <w:t>2</w:t>
            </w:r>
          </w:p>
        </w:tc>
        <w:tc>
          <w:tcPr>
            <w:tcW w:w="1499" w:type="dxa"/>
            <w:noWrap w:val="0"/>
            <w:vAlign w:val="center"/>
          </w:tcPr>
          <w:p>
            <w:pPr>
              <w:adjustRightInd w:val="0"/>
              <w:jc w:val="center"/>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同类案例</w:t>
            </w:r>
          </w:p>
        </w:tc>
        <w:tc>
          <w:tcPr>
            <w:tcW w:w="6611" w:type="dxa"/>
            <w:noWrap w:val="0"/>
            <w:vAlign w:val="center"/>
          </w:tcPr>
          <w:p>
            <w:pPr>
              <w:adjustRightIn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1.投标人自201</w:t>
            </w:r>
            <w:r>
              <w:rPr>
                <w:rFonts w:hint="eastAsia" w:ascii="仿宋" w:hAnsi="仿宋" w:eastAsia="仿宋" w:cs="仿宋_GB2312"/>
                <w:color w:val="auto"/>
                <w:kern w:val="0"/>
                <w:sz w:val="24"/>
                <w:szCs w:val="24"/>
                <w:highlight w:val="none"/>
                <w:lang w:val="en-US" w:eastAsia="zh-CN"/>
              </w:rPr>
              <w:t>7</w:t>
            </w:r>
            <w:r>
              <w:rPr>
                <w:rFonts w:hint="eastAsia" w:ascii="仿宋" w:hAnsi="仿宋" w:eastAsia="仿宋" w:cs="仿宋_GB2312"/>
                <w:color w:val="auto"/>
                <w:kern w:val="0"/>
                <w:sz w:val="24"/>
                <w:szCs w:val="24"/>
                <w:highlight w:val="none"/>
              </w:rPr>
              <w:t>年1月1日（以签订合同的时间为准）以来具有定制物料设计制作</w:t>
            </w:r>
            <w:r>
              <w:rPr>
                <w:rFonts w:hint="eastAsia" w:ascii="仿宋" w:hAnsi="仿宋" w:eastAsia="仿宋" w:cs="仿宋_GB2312"/>
                <w:color w:val="auto"/>
                <w:kern w:val="0"/>
                <w:sz w:val="24"/>
                <w:szCs w:val="24"/>
                <w:highlight w:val="none"/>
                <w:lang w:eastAsia="zh-CN"/>
              </w:rPr>
              <w:t>或</w:t>
            </w:r>
            <w:r>
              <w:rPr>
                <w:rFonts w:hint="eastAsia" w:ascii="仿宋" w:hAnsi="仿宋" w:eastAsia="仿宋" w:cs="仿宋_GB2312"/>
                <w:color w:val="auto"/>
                <w:kern w:val="0"/>
                <w:sz w:val="24"/>
                <w:szCs w:val="24"/>
                <w:highlight w:val="none"/>
              </w:rPr>
              <w:t>宣传片拍摄</w:t>
            </w:r>
            <w:r>
              <w:rPr>
                <w:rFonts w:hint="eastAsia" w:ascii="仿宋" w:hAnsi="仿宋" w:eastAsia="仿宋" w:cs="仿宋_GB2312"/>
                <w:color w:val="auto"/>
                <w:kern w:val="0"/>
                <w:sz w:val="24"/>
                <w:szCs w:val="24"/>
                <w:highlight w:val="none"/>
                <w:lang w:eastAsia="zh-CN"/>
              </w:rPr>
              <w:t>或</w:t>
            </w:r>
            <w:r>
              <w:rPr>
                <w:rFonts w:hint="eastAsia" w:ascii="仿宋" w:hAnsi="仿宋" w:eastAsia="仿宋" w:cs="仿宋_GB2312"/>
                <w:color w:val="auto"/>
                <w:kern w:val="0"/>
                <w:sz w:val="24"/>
                <w:szCs w:val="24"/>
                <w:highlight w:val="none"/>
              </w:rPr>
              <w:t>线上线下推广活动</w:t>
            </w:r>
            <w:r>
              <w:rPr>
                <w:rFonts w:hint="eastAsia" w:ascii="仿宋" w:hAnsi="仿宋" w:eastAsia="仿宋" w:cs="仿宋_GB2312"/>
                <w:color w:val="auto"/>
                <w:kern w:val="0"/>
                <w:sz w:val="24"/>
                <w:szCs w:val="24"/>
                <w:highlight w:val="none"/>
                <w:lang w:eastAsia="zh-CN"/>
              </w:rPr>
              <w:t>或</w:t>
            </w:r>
            <w:r>
              <w:rPr>
                <w:rFonts w:hint="eastAsia" w:ascii="仿宋" w:hAnsi="仿宋" w:eastAsia="仿宋" w:cs="仿宋_GB2312"/>
                <w:color w:val="auto"/>
                <w:kern w:val="0"/>
                <w:sz w:val="24"/>
                <w:szCs w:val="24"/>
                <w:highlight w:val="none"/>
              </w:rPr>
              <w:t>平面设计</w:t>
            </w:r>
            <w:r>
              <w:rPr>
                <w:rFonts w:hint="eastAsia" w:ascii="仿宋" w:hAnsi="仿宋" w:eastAsia="仿宋" w:cs="仿宋_GB2312"/>
                <w:color w:val="auto"/>
                <w:kern w:val="0"/>
                <w:sz w:val="24"/>
                <w:szCs w:val="24"/>
                <w:highlight w:val="none"/>
                <w:lang w:eastAsia="zh-CN"/>
              </w:rPr>
              <w:t>或</w:t>
            </w:r>
            <w:r>
              <w:rPr>
                <w:rFonts w:hint="eastAsia" w:ascii="仿宋" w:hAnsi="仿宋" w:eastAsia="仿宋" w:cs="仿宋_GB2312"/>
                <w:color w:val="auto"/>
                <w:kern w:val="0"/>
                <w:sz w:val="24"/>
                <w:szCs w:val="24"/>
                <w:highlight w:val="none"/>
              </w:rPr>
              <w:t>文案策划撰写业绩的</w:t>
            </w:r>
            <w:r>
              <w:rPr>
                <w:rFonts w:hint="eastAsia" w:ascii="仿宋" w:hAnsi="仿宋" w:eastAsia="仿宋" w:cs="仿宋_GB2312"/>
                <w:color w:val="auto"/>
                <w:kern w:val="0"/>
                <w:sz w:val="24"/>
                <w:szCs w:val="24"/>
                <w:highlight w:val="none"/>
                <w:lang w:eastAsia="zh-CN"/>
              </w:rPr>
              <w:t>，</w:t>
            </w:r>
            <w:r>
              <w:rPr>
                <w:rFonts w:hint="eastAsia" w:ascii="仿宋" w:hAnsi="仿宋" w:eastAsia="仿宋" w:cs="仿宋_GB2312"/>
                <w:color w:val="auto"/>
                <w:kern w:val="0"/>
                <w:sz w:val="24"/>
                <w:szCs w:val="24"/>
                <w:highlight w:val="none"/>
                <w:lang w:val="en-US" w:eastAsia="zh-CN"/>
              </w:rPr>
              <w:t>每个得3分，</w:t>
            </w:r>
            <w:r>
              <w:rPr>
                <w:rFonts w:hint="eastAsia" w:ascii="仿宋" w:hAnsi="仿宋" w:eastAsia="仿宋" w:cs="仿宋_GB2312"/>
                <w:color w:val="auto"/>
                <w:kern w:val="0"/>
                <w:sz w:val="24"/>
                <w:szCs w:val="24"/>
                <w:highlight w:val="none"/>
              </w:rPr>
              <w:t>本项最多计3个业绩</w:t>
            </w:r>
            <w:r>
              <w:rPr>
                <w:rFonts w:hint="eastAsia" w:ascii="仿宋" w:hAnsi="仿宋" w:eastAsia="仿宋" w:cs="仿宋_GB2312"/>
                <w:color w:val="auto"/>
                <w:kern w:val="0"/>
                <w:sz w:val="24"/>
                <w:szCs w:val="24"/>
                <w:highlight w:val="none"/>
                <w:lang w:eastAsia="zh-CN"/>
              </w:rPr>
              <w:t>，</w:t>
            </w:r>
            <w:r>
              <w:rPr>
                <w:rFonts w:hint="eastAsia" w:ascii="仿宋" w:hAnsi="仿宋" w:eastAsia="仿宋" w:cs="仿宋_GB2312"/>
                <w:color w:val="auto"/>
                <w:kern w:val="0"/>
                <w:sz w:val="24"/>
                <w:szCs w:val="24"/>
                <w:highlight w:val="none"/>
              </w:rPr>
              <w:t>最多得</w:t>
            </w:r>
            <w:r>
              <w:rPr>
                <w:rFonts w:hint="eastAsia" w:ascii="仿宋" w:hAnsi="仿宋" w:eastAsia="仿宋" w:cs="仿宋_GB2312"/>
                <w:color w:val="auto"/>
                <w:kern w:val="0"/>
                <w:sz w:val="24"/>
                <w:szCs w:val="24"/>
                <w:highlight w:val="none"/>
                <w:lang w:val="en-US" w:eastAsia="zh-CN"/>
              </w:rPr>
              <w:t>9</w:t>
            </w:r>
            <w:r>
              <w:rPr>
                <w:rFonts w:hint="eastAsia" w:ascii="仿宋" w:hAnsi="仿宋" w:eastAsia="仿宋" w:cs="仿宋_GB2312"/>
                <w:color w:val="auto"/>
                <w:kern w:val="0"/>
                <w:sz w:val="24"/>
                <w:szCs w:val="24"/>
                <w:highlight w:val="none"/>
              </w:rPr>
              <w:t>分</w:t>
            </w:r>
          </w:p>
          <w:p>
            <w:pPr>
              <w:adjustRightIn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注：提供合同扫描件并加盖投标单位公章。</w:t>
            </w:r>
          </w:p>
        </w:tc>
        <w:tc>
          <w:tcPr>
            <w:tcW w:w="750" w:type="dxa"/>
            <w:noWrap w:val="0"/>
            <w:vAlign w:val="center"/>
          </w:tcPr>
          <w:p>
            <w:pPr>
              <w:widowControl/>
              <w:adjustRightInd w:val="0"/>
              <w:spacing w:line="360" w:lineRule="auto"/>
              <w:jc w:val="center"/>
              <w:rPr>
                <w:rFonts w:hint="eastAsia" w:ascii="仿宋" w:hAnsi="仿宋" w:eastAsia="仿宋" w:cs="仿宋_GB2312"/>
                <w:bCs/>
                <w:color w:val="auto"/>
                <w:sz w:val="24"/>
                <w:szCs w:val="24"/>
                <w:highlight w:val="none"/>
                <w:lang w:eastAsia="zh-CN"/>
              </w:rPr>
            </w:pPr>
            <w:r>
              <w:rPr>
                <w:rFonts w:hint="eastAsia" w:ascii="仿宋" w:hAnsi="仿宋" w:eastAsia="仿宋" w:cs="仿宋_GB2312"/>
                <w:bCs/>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4" w:type="dxa"/>
            <w:noWrap w:val="0"/>
            <w:vAlign w:val="center"/>
          </w:tcPr>
          <w:p>
            <w:pPr>
              <w:adjustRightInd w:val="0"/>
              <w:jc w:val="center"/>
              <w:rPr>
                <w:rFonts w:ascii="仿宋" w:hAnsi="仿宋" w:eastAsia="仿宋" w:cs="仿宋_GB2312"/>
                <w:color w:val="auto"/>
                <w:kern w:val="0"/>
                <w:sz w:val="24"/>
                <w:szCs w:val="24"/>
                <w:highlight w:val="none"/>
                <w:lang w:val="en-US" w:eastAsia="zh-CN" w:bidi="ar-SA"/>
              </w:rPr>
            </w:pPr>
            <w:r>
              <w:rPr>
                <w:rFonts w:hint="eastAsia" w:ascii="仿宋" w:hAnsi="仿宋" w:eastAsia="仿宋" w:cs="仿宋_GB2312"/>
                <w:color w:val="auto"/>
                <w:kern w:val="0"/>
                <w:sz w:val="24"/>
                <w:szCs w:val="24"/>
                <w:highlight w:val="none"/>
              </w:rPr>
              <w:t>3</w:t>
            </w:r>
          </w:p>
        </w:tc>
        <w:tc>
          <w:tcPr>
            <w:tcW w:w="1499" w:type="dxa"/>
            <w:noWrap w:val="0"/>
            <w:vAlign w:val="center"/>
          </w:tcPr>
          <w:p>
            <w:pPr>
              <w:adjustRightInd w:val="0"/>
              <w:jc w:val="center"/>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企业实力</w:t>
            </w:r>
          </w:p>
        </w:tc>
        <w:tc>
          <w:tcPr>
            <w:tcW w:w="6611" w:type="dxa"/>
            <w:noWrap w:val="0"/>
            <w:vAlign w:val="center"/>
          </w:tcPr>
          <w:p>
            <w:pPr>
              <w:adjustRightIn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投标人201</w:t>
            </w:r>
            <w:r>
              <w:rPr>
                <w:rFonts w:hint="eastAsia" w:ascii="仿宋" w:hAnsi="仿宋" w:eastAsia="仿宋" w:cs="仿宋_GB2312"/>
                <w:color w:val="auto"/>
                <w:kern w:val="0"/>
                <w:sz w:val="24"/>
                <w:szCs w:val="24"/>
                <w:highlight w:val="none"/>
                <w:lang w:val="en-US" w:eastAsia="zh-CN"/>
              </w:rPr>
              <w:t>7</w:t>
            </w:r>
            <w:r>
              <w:rPr>
                <w:rFonts w:hint="eastAsia" w:ascii="仿宋" w:hAnsi="仿宋" w:eastAsia="仿宋" w:cs="仿宋_GB2312"/>
                <w:color w:val="auto"/>
                <w:kern w:val="0"/>
                <w:sz w:val="24"/>
                <w:szCs w:val="24"/>
                <w:highlight w:val="none"/>
              </w:rPr>
              <w:t>年1月1日至今，所承办过的运营活动</w:t>
            </w:r>
            <w:r>
              <w:rPr>
                <w:rFonts w:hint="eastAsia" w:ascii="仿宋" w:hAnsi="仿宋" w:eastAsia="仿宋" w:cs="仿宋_GB2312"/>
                <w:color w:val="auto"/>
                <w:kern w:val="0"/>
                <w:sz w:val="24"/>
                <w:szCs w:val="24"/>
                <w:highlight w:val="none"/>
                <w:lang w:eastAsia="zh-CN"/>
              </w:rPr>
              <w:t>或</w:t>
            </w:r>
            <w:r>
              <w:rPr>
                <w:rFonts w:hint="eastAsia" w:ascii="仿宋" w:hAnsi="仿宋" w:eastAsia="仿宋" w:cs="仿宋_GB2312"/>
                <w:color w:val="auto"/>
                <w:kern w:val="0"/>
                <w:sz w:val="24"/>
                <w:szCs w:val="24"/>
                <w:highlight w:val="none"/>
              </w:rPr>
              <w:t>设计作品获得过市级及以上荣誉的，每次得</w:t>
            </w:r>
            <w:r>
              <w:rPr>
                <w:rFonts w:hint="eastAsia" w:ascii="仿宋" w:hAnsi="仿宋" w:eastAsia="仿宋" w:cs="仿宋_GB2312"/>
                <w:color w:val="auto"/>
                <w:kern w:val="0"/>
                <w:sz w:val="24"/>
                <w:szCs w:val="24"/>
                <w:highlight w:val="none"/>
                <w:lang w:val="en-US" w:eastAsia="zh-CN"/>
              </w:rPr>
              <w:t>3</w:t>
            </w:r>
            <w:r>
              <w:rPr>
                <w:rFonts w:hint="eastAsia" w:ascii="仿宋" w:hAnsi="仿宋" w:eastAsia="仿宋" w:cs="仿宋_GB2312"/>
                <w:color w:val="auto"/>
                <w:kern w:val="0"/>
                <w:sz w:val="24"/>
                <w:szCs w:val="24"/>
                <w:highlight w:val="none"/>
              </w:rPr>
              <w:t>分，本项最多得</w:t>
            </w:r>
            <w:r>
              <w:rPr>
                <w:rFonts w:hint="eastAsia" w:ascii="仿宋" w:hAnsi="仿宋" w:eastAsia="仿宋" w:cs="仿宋_GB2312"/>
                <w:color w:val="auto"/>
                <w:kern w:val="0"/>
                <w:sz w:val="24"/>
                <w:szCs w:val="24"/>
                <w:highlight w:val="none"/>
                <w:lang w:val="en-US" w:eastAsia="zh-CN"/>
              </w:rPr>
              <w:t>6</w:t>
            </w:r>
            <w:r>
              <w:rPr>
                <w:rFonts w:hint="eastAsia" w:ascii="仿宋" w:hAnsi="仿宋" w:eastAsia="仿宋" w:cs="仿宋_GB2312"/>
                <w:color w:val="auto"/>
                <w:kern w:val="0"/>
                <w:sz w:val="24"/>
                <w:szCs w:val="24"/>
                <w:highlight w:val="none"/>
              </w:rPr>
              <w:t>分。</w:t>
            </w:r>
          </w:p>
          <w:p>
            <w:pPr>
              <w:adjustRightIn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注：提供证明文件扫描件并加盖投标单位公章。</w:t>
            </w:r>
          </w:p>
        </w:tc>
        <w:tc>
          <w:tcPr>
            <w:tcW w:w="750" w:type="dxa"/>
            <w:noWrap w:val="0"/>
            <w:vAlign w:val="center"/>
          </w:tcPr>
          <w:p>
            <w:pPr>
              <w:widowControl/>
              <w:adjustRightInd w:val="0"/>
              <w:spacing w:line="360" w:lineRule="auto"/>
              <w:jc w:val="center"/>
              <w:rPr>
                <w:rFonts w:hint="eastAsia" w:ascii="仿宋" w:hAnsi="仿宋" w:eastAsia="仿宋" w:cs="仿宋_GB2312"/>
                <w:bCs/>
                <w:color w:val="auto"/>
                <w:sz w:val="24"/>
                <w:szCs w:val="24"/>
                <w:highlight w:val="none"/>
                <w:lang w:eastAsia="zh-CN"/>
              </w:rPr>
            </w:pPr>
            <w:r>
              <w:rPr>
                <w:rFonts w:hint="eastAsia" w:ascii="仿宋" w:hAnsi="仿宋" w:eastAsia="仿宋" w:cs="仿宋_GB2312"/>
                <w:bCs/>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4" w:type="dxa"/>
            <w:noWrap w:val="0"/>
            <w:vAlign w:val="center"/>
          </w:tcPr>
          <w:p>
            <w:pPr>
              <w:adjustRightInd w:val="0"/>
              <w:jc w:val="center"/>
              <w:rPr>
                <w:rFonts w:ascii="仿宋" w:hAnsi="仿宋" w:eastAsia="仿宋" w:cs="仿宋_GB2312"/>
                <w:color w:val="auto"/>
                <w:kern w:val="0"/>
                <w:sz w:val="24"/>
                <w:szCs w:val="24"/>
                <w:highlight w:val="none"/>
                <w:lang w:val="en-US" w:eastAsia="zh-CN" w:bidi="ar-SA"/>
              </w:rPr>
            </w:pPr>
            <w:r>
              <w:rPr>
                <w:rFonts w:hint="eastAsia" w:ascii="仿宋" w:hAnsi="仿宋" w:eastAsia="仿宋" w:cs="仿宋_GB2312"/>
                <w:color w:val="auto"/>
                <w:kern w:val="0"/>
                <w:sz w:val="24"/>
                <w:szCs w:val="24"/>
                <w:highlight w:val="none"/>
              </w:rPr>
              <w:t>4</w:t>
            </w:r>
          </w:p>
        </w:tc>
        <w:tc>
          <w:tcPr>
            <w:tcW w:w="1499" w:type="dxa"/>
            <w:noWrap w:val="0"/>
            <w:vAlign w:val="center"/>
          </w:tcPr>
          <w:p>
            <w:pPr>
              <w:adjustRightInd w:val="0"/>
              <w:jc w:val="center"/>
              <w:rPr>
                <w:rFonts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项目整体宣传及活动策划方案</w:t>
            </w:r>
          </w:p>
        </w:tc>
        <w:tc>
          <w:tcPr>
            <w:tcW w:w="6611" w:type="dxa"/>
            <w:noWrap w:val="0"/>
            <w:vAlign w:val="center"/>
          </w:tcPr>
          <w:p>
            <w:pPr>
              <w:adjustRightInd w:val="0"/>
              <w:jc w:val="left"/>
              <w:rPr>
                <w:rFonts w:hint="eastAsia" w:ascii="仿宋" w:hAnsi="仿宋" w:eastAsia="仿宋" w:cs="仿宋_GB2312"/>
                <w:color w:val="auto"/>
                <w:kern w:val="0"/>
                <w:sz w:val="24"/>
                <w:szCs w:val="24"/>
                <w:highlight w:val="none"/>
                <w:lang w:eastAsia="zh-CN"/>
              </w:rPr>
            </w:pPr>
            <w:r>
              <w:rPr>
                <w:rFonts w:hint="eastAsia" w:ascii="仿宋" w:hAnsi="仿宋" w:eastAsia="仿宋" w:cs="仿宋_GB2312"/>
                <w:color w:val="auto"/>
                <w:kern w:val="0"/>
                <w:sz w:val="24"/>
                <w:szCs w:val="24"/>
                <w:highlight w:val="none"/>
              </w:rPr>
              <w:t>根据投标人对项目的理解程度及存在的问题进行分析，并对本项目出具整体实施方案，</w:t>
            </w:r>
            <w:r>
              <w:rPr>
                <w:rFonts w:hint="eastAsia" w:ascii="仿宋" w:hAnsi="仿宋" w:eastAsia="仿宋" w:cs="仿宋"/>
                <w:color w:val="auto"/>
                <w:sz w:val="24"/>
                <w:szCs w:val="24"/>
                <w:highlight w:val="none"/>
              </w:rPr>
              <w:t>由评委横向比较打分。</w:t>
            </w:r>
            <w:r>
              <w:rPr>
                <w:rFonts w:hint="eastAsia" w:ascii="仿宋" w:hAnsi="仿宋" w:eastAsia="仿宋" w:cs="仿宋_GB2312"/>
                <w:color w:val="auto"/>
                <w:kern w:val="0"/>
                <w:sz w:val="24"/>
                <w:szCs w:val="24"/>
                <w:highlight w:val="none"/>
              </w:rPr>
              <w:t>优</w:t>
            </w:r>
            <w:r>
              <w:rPr>
                <w:rFonts w:hint="eastAsia" w:ascii="仿宋" w:hAnsi="仿宋" w:eastAsia="仿宋" w:cs="仿宋_GB2312"/>
                <w:color w:val="auto"/>
                <w:kern w:val="0"/>
                <w:sz w:val="24"/>
                <w:szCs w:val="24"/>
                <w:highlight w:val="none"/>
                <w:lang w:val="en-US" w:eastAsia="zh-CN"/>
              </w:rPr>
              <w:t>15.1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20</w:t>
            </w:r>
            <w:r>
              <w:rPr>
                <w:rFonts w:hint="eastAsia" w:ascii="仿宋" w:hAnsi="仿宋" w:eastAsia="仿宋" w:cs="仿宋_GB2312"/>
                <w:color w:val="auto"/>
                <w:kern w:val="0"/>
                <w:sz w:val="24"/>
                <w:szCs w:val="24"/>
                <w:highlight w:val="none"/>
              </w:rPr>
              <w:t>分，良</w:t>
            </w:r>
            <w:r>
              <w:rPr>
                <w:rFonts w:hint="eastAsia" w:ascii="仿宋" w:hAnsi="仿宋" w:eastAsia="仿宋" w:cs="仿宋_GB2312"/>
                <w:color w:val="auto"/>
                <w:kern w:val="0"/>
                <w:sz w:val="24"/>
                <w:szCs w:val="24"/>
                <w:highlight w:val="none"/>
                <w:lang w:val="en-US" w:eastAsia="zh-CN"/>
              </w:rPr>
              <w:t>10.1-15</w:t>
            </w:r>
            <w:r>
              <w:rPr>
                <w:rFonts w:hint="eastAsia" w:ascii="仿宋" w:hAnsi="仿宋" w:eastAsia="仿宋" w:cs="仿宋_GB2312"/>
                <w:color w:val="auto"/>
                <w:kern w:val="0"/>
                <w:sz w:val="24"/>
                <w:szCs w:val="24"/>
                <w:highlight w:val="none"/>
              </w:rPr>
              <w:t>分，一般</w:t>
            </w:r>
            <w:r>
              <w:rPr>
                <w:rFonts w:hint="eastAsia" w:ascii="仿宋" w:hAnsi="仿宋" w:eastAsia="仿宋" w:cs="仿宋_GB2312"/>
                <w:color w:val="auto"/>
                <w:kern w:val="0"/>
                <w:sz w:val="24"/>
                <w:szCs w:val="24"/>
                <w:highlight w:val="none"/>
                <w:lang w:val="en-US" w:eastAsia="zh-CN"/>
              </w:rPr>
              <w:t>5.1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10</w:t>
            </w:r>
            <w:r>
              <w:rPr>
                <w:rFonts w:hint="eastAsia" w:ascii="仿宋" w:hAnsi="仿宋" w:eastAsia="仿宋" w:cs="仿宋_GB2312"/>
                <w:color w:val="auto"/>
                <w:kern w:val="0"/>
                <w:sz w:val="24"/>
                <w:szCs w:val="24"/>
                <w:highlight w:val="none"/>
              </w:rPr>
              <w:t xml:space="preserve">分 </w:t>
            </w:r>
            <w:r>
              <w:rPr>
                <w:rFonts w:hint="eastAsia" w:ascii="仿宋" w:hAnsi="仿宋" w:eastAsia="仿宋" w:cs="仿宋_GB2312"/>
                <w:color w:val="auto"/>
                <w:kern w:val="0"/>
                <w:sz w:val="24"/>
                <w:szCs w:val="24"/>
                <w:highlight w:val="none"/>
                <w:lang w:eastAsia="zh-CN"/>
              </w:rPr>
              <w:t>，差</w:t>
            </w:r>
            <w:r>
              <w:rPr>
                <w:rFonts w:hint="eastAsia" w:ascii="仿宋" w:hAnsi="仿宋" w:eastAsia="仿宋" w:cs="仿宋_GB2312"/>
                <w:color w:val="auto"/>
                <w:kern w:val="0"/>
                <w:sz w:val="24"/>
                <w:szCs w:val="24"/>
                <w:highlight w:val="none"/>
                <w:lang w:val="en-US" w:eastAsia="zh-CN"/>
              </w:rPr>
              <w:t>1-5分，</w:t>
            </w:r>
            <w:r>
              <w:rPr>
                <w:rFonts w:hint="eastAsia" w:ascii="仿宋" w:hAnsi="仿宋" w:eastAsia="仿宋" w:cs="仿宋_GB2312"/>
                <w:color w:val="auto"/>
                <w:kern w:val="0"/>
                <w:sz w:val="24"/>
                <w:szCs w:val="24"/>
                <w:highlight w:val="none"/>
                <w:lang w:eastAsia="zh-CN"/>
              </w:rPr>
              <w:t>不提供不得分</w:t>
            </w:r>
          </w:p>
        </w:tc>
        <w:tc>
          <w:tcPr>
            <w:tcW w:w="750" w:type="dxa"/>
            <w:noWrap w:val="0"/>
            <w:vAlign w:val="center"/>
          </w:tcPr>
          <w:p>
            <w:pPr>
              <w:widowControl/>
              <w:adjustRightInd w:val="0"/>
              <w:spacing w:line="360" w:lineRule="auto"/>
              <w:jc w:val="center"/>
              <w:rPr>
                <w:rFonts w:hint="default"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pPr>
              <w:adjustRightInd w:val="0"/>
              <w:jc w:val="center"/>
              <w:rPr>
                <w:rFonts w:ascii="仿宋" w:hAnsi="仿宋" w:eastAsia="仿宋" w:cs="仿宋_GB2312"/>
                <w:color w:val="auto"/>
                <w:kern w:val="0"/>
                <w:sz w:val="24"/>
                <w:szCs w:val="24"/>
                <w:highlight w:val="none"/>
                <w:lang w:val="en-US" w:eastAsia="zh-CN" w:bidi="ar-SA"/>
              </w:rPr>
            </w:pPr>
            <w:r>
              <w:rPr>
                <w:rFonts w:hint="eastAsia" w:ascii="仿宋" w:hAnsi="仿宋" w:eastAsia="仿宋" w:cs="仿宋_GB2312"/>
                <w:color w:val="auto"/>
                <w:kern w:val="0"/>
                <w:sz w:val="24"/>
                <w:szCs w:val="24"/>
                <w:highlight w:val="none"/>
              </w:rPr>
              <w:t>5</w:t>
            </w:r>
          </w:p>
        </w:tc>
        <w:tc>
          <w:tcPr>
            <w:tcW w:w="1499" w:type="dxa"/>
            <w:noWrap w:val="0"/>
            <w:vAlign w:val="center"/>
          </w:tcPr>
          <w:p>
            <w:pPr>
              <w:adjustRightInd w:val="0"/>
              <w:jc w:val="center"/>
              <w:rPr>
                <w:rFonts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宣传片拍摄方案</w:t>
            </w:r>
          </w:p>
        </w:tc>
        <w:tc>
          <w:tcPr>
            <w:tcW w:w="6611" w:type="dxa"/>
            <w:noWrap w:val="0"/>
            <w:vAlign w:val="center"/>
          </w:tcPr>
          <w:p>
            <w:pPr>
              <w:adjustRightIn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投标人需要提供剧本大纲，要求内容完整，主题鲜明，针对</w:t>
            </w:r>
            <w:r>
              <w:rPr>
                <w:rFonts w:hint="eastAsia" w:ascii="仿宋" w:hAnsi="Calibri" w:eastAsia="仿宋" w:cs="Times New Roman"/>
                <w:color w:val="auto"/>
                <w:sz w:val="24"/>
                <w:szCs w:val="24"/>
                <w:highlight w:val="none"/>
              </w:rPr>
              <w:t>绍兴轨道交通一号线柯桥段的沿线商业招商宣传</w:t>
            </w:r>
            <w:r>
              <w:rPr>
                <w:rFonts w:hint="eastAsia" w:ascii="仿宋" w:hAnsi="仿宋" w:eastAsia="仿宋" w:cs="仿宋"/>
                <w:color w:val="auto"/>
                <w:sz w:val="24"/>
                <w:szCs w:val="24"/>
                <w:highlight w:val="none"/>
              </w:rPr>
              <w:t>突出亮点，层次分明，写作有创意和独特思路，由评委横向比较打分</w:t>
            </w:r>
            <w:r>
              <w:rPr>
                <w:rFonts w:hint="eastAsia" w:ascii="仿宋" w:hAnsi="仿宋" w:eastAsia="仿宋" w:cs="仿宋"/>
                <w:color w:val="auto"/>
                <w:sz w:val="24"/>
                <w:szCs w:val="24"/>
                <w:highlight w:val="none"/>
                <w:lang w:eastAsia="zh-CN"/>
              </w:rPr>
              <w:t>。</w:t>
            </w:r>
            <w:r>
              <w:rPr>
                <w:rFonts w:hint="eastAsia" w:ascii="仿宋" w:hAnsi="仿宋" w:eastAsia="仿宋" w:cs="仿宋_GB2312"/>
                <w:color w:val="auto"/>
                <w:kern w:val="0"/>
                <w:sz w:val="24"/>
                <w:szCs w:val="24"/>
                <w:highlight w:val="none"/>
              </w:rPr>
              <w:t>优</w:t>
            </w:r>
            <w:r>
              <w:rPr>
                <w:rFonts w:hint="eastAsia" w:ascii="仿宋" w:hAnsi="仿宋" w:eastAsia="仿宋" w:cs="仿宋_GB2312"/>
                <w:color w:val="auto"/>
                <w:kern w:val="0"/>
                <w:sz w:val="24"/>
                <w:szCs w:val="24"/>
                <w:highlight w:val="none"/>
                <w:lang w:val="en-US" w:eastAsia="zh-CN"/>
              </w:rPr>
              <w:t>10.1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13</w:t>
            </w:r>
            <w:r>
              <w:rPr>
                <w:rFonts w:hint="eastAsia" w:ascii="仿宋" w:hAnsi="仿宋" w:eastAsia="仿宋" w:cs="仿宋_GB2312"/>
                <w:color w:val="auto"/>
                <w:kern w:val="0"/>
                <w:sz w:val="24"/>
                <w:szCs w:val="24"/>
                <w:highlight w:val="none"/>
              </w:rPr>
              <w:t>分，良</w:t>
            </w:r>
            <w:r>
              <w:rPr>
                <w:rFonts w:hint="eastAsia" w:ascii="仿宋" w:hAnsi="仿宋" w:eastAsia="仿宋" w:cs="仿宋_GB2312"/>
                <w:color w:val="auto"/>
                <w:kern w:val="0"/>
                <w:sz w:val="24"/>
                <w:szCs w:val="24"/>
                <w:highlight w:val="none"/>
                <w:lang w:val="en-US" w:eastAsia="zh-CN"/>
              </w:rPr>
              <w:t>7.1-10</w:t>
            </w:r>
            <w:r>
              <w:rPr>
                <w:rFonts w:hint="eastAsia" w:ascii="仿宋" w:hAnsi="仿宋" w:eastAsia="仿宋" w:cs="仿宋_GB2312"/>
                <w:color w:val="auto"/>
                <w:kern w:val="0"/>
                <w:sz w:val="24"/>
                <w:szCs w:val="24"/>
                <w:highlight w:val="none"/>
              </w:rPr>
              <w:t>分，一般</w:t>
            </w:r>
            <w:r>
              <w:rPr>
                <w:rFonts w:hint="eastAsia" w:ascii="仿宋" w:hAnsi="仿宋" w:eastAsia="仿宋" w:cs="仿宋_GB2312"/>
                <w:color w:val="auto"/>
                <w:kern w:val="0"/>
                <w:sz w:val="24"/>
                <w:szCs w:val="24"/>
                <w:highlight w:val="none"/>
                <w:lang w:val="en-US" w:eastAsia="zh-CN"/>
              </w:rPr>
              <w:t>4.1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7</w:t>
            </w:r>
            <w:r>
              <w:rPr>
                <w:rFonts w:hint="eastAsia" w:ascii="仿宋" w:hAnsi="仿宋" w:eastAsia="仿宋" w:cs="仿宋_GB2312"/>
                <w:color w:val="auto"/>
                <w:kern w:val="0"/>
                <w:sz w:val="24"/>
                <w:szCs w:val="24"/>
                <w:highlight w:val="none"/>
              </w:rPr>
              <w:t xml:space="preserve">分 </w:t>
            </w:r>
            <w:r>
              <w:rPr>
                <w:rFonts w:hint="eastAsia" w:ascii="仿宋" w:hAnsi="仿宋" w:eastAsia="仿宋" w:cs="仿宋_GB2312"/>
                <w:color w:val="auto"/>
                <w:kern w:val="0"/>
                <w:sz w:val="24"/>
                <w:szCs w:val="24"/>
                <w:highlight w:val="none"/>
                <w:lang w:eastAsia="zh-CN"/>
              </w:rPr>
              <w:t>，差</w:t>
            </w:r>
            <w:r>
              <w:rPr>
                <w:rFonts w:hint="eastAsia" w:ascii="仿宋" w:hAnsi="仿宋" w:eastAsia="仿宋" w:cs="仿宋_GB2312"/>
                <w:color w:val="auto"/>
                <w:kern w:val="0"/>
                <w:sz w:val="24"/>
                <w:szCs w:val="24"/>
                <w:highlight w:val="none"/>
                <w:lang w:val="en-US" w:eastAsia="zh-CN"/>
              </w:rPr>
              <w:t>1-4分，</w:t>
            </w:r>
            <w:r>
              <w:rPr>
                <w:rFonts w:hint="eastAsia" w:ascii="仿宋" w:hAnsi="仿宋" w:eastAsia="仿宋" w:cs="仿宋_GB2312"/>
                <w:color w:val="auto"/>
                <w:kern w:val="0"/>
                <w:sz w:val="24"/>
                <w:szCs w:val="24"/>
                <w:highlight w:val="none"/>
                <w:lang w:eastAsia="zh-CN"/>
              </w:rPr>
              <w:t>不提供不得分</w:t>
            </w:r>
          </w:p>
        </w:tc>
        <w:tc>
          <w:tcPr>
            <w:tcW w:w="750" w:type="dxa"/>
            <w:noWrap w:val="0"/>
            <w:vAlign w:val="center"/>
          </w:tcPr>
          <w:p>
            <w:pPr>
              <w:widowControl/>
              <w:adjustRightInd w:val="0"/>
              <w:spacing w:line="360" w:lineRule="auto"/>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pPr>
              <w:adjustRightInd w:val="0"/>
              <w:jc w:val="center"/>
              <w:rPr>
                <w:rFonts w:hint="eastAsia" w:ascii="仿宋" w:hAnsi="仿宋" w:eastAsia="仿宋" w:cs="仿宋_GB2312"/>
                <w:color w:val="auto"/>
                <w:kern w:val="0"/>
                <w:sz w:val="24"/>
                <w:szCs w:val="24"/>
                <w:highlight w:val="none"/>
                <w:lang w:val="en-US" w:eastAsia="zh-CN" w:bidi="ar-SA"/>
              </w:rPr>
            </w:pPr>
            <w:r>
              <w:rPr>
                <w:rFonts w:hint="eastAsia" w:ascii="仿宋" w:hAnsi="仿宋" w:eastAsia="仿宋" w:cs="仿宋_GB2312"/>
                <w:color w:val="auto"/>
                <w:kern w:val="0"/>
                <w:sz w:val="24"/>
                <w:szCs w:val="24"/>
                <w:highlight w:val="none"/>
                <w:lang w:val="en-US" w:eastAsia="zh-CN"/>
              </w:rPr>
              <w:t>6</w:t>
            </w:r>
          </w:p>
        </w:tc>
        <w:tc>
          <w:tcPr>
            <w:tcW w:w="1499" w:type="dxa"/>
            <w:noWrap w:val="0"/>
            <w:vAlign w:val="center"/>
          </w:tcPr>
          <w:p>
            <w:pPr>
              <w:adjustRightInd w:val="0"/>
              <w:jc w:val="center"/>
              <w:rPr>
                <w:rFonts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宣传册制作方案</w:t>
            </w:r>
          </w:p>
        </w:tc>
        <w:tc>
          <w:tcPr>
            <w:tcW w:w="6611" w:type="dxa"/>
            <w:noWrap w:val="0"/>
            <w:vAlign w:val="center"/>
          </w:tcPr>
          <w:p>
            <w:pPr>
              <w:adjustRightInd w:val="0"/>
              <w:jc w:val="left"/>
              <w:rPr>
                <w:rFonts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根据设计制作方案的创意性、主题的契合性，是否可行性等情况；宣传册的策划、排版、资料收集的丰富性等，</w:t>
            </w:r>
            <w:r>
              <w:rPr>
                <w:rFonts w:hint="eastAsia" w:ascii="仿宋" w:hAnsi="仿宋" w:eastAsia="仿宋" w:cs="仿宋"/>
                <w:color w:val="auto"/>
                <w:sz w:val="24"/>
                <w:szCs w:val="24"/>
                <w:highlight w:val="none"/>
              </w:rPr>
              <w:t>由评委横向比较打分</w:t>
            </w:r>
            <w:r>
              <w:rPr>
                <w:rFonts w:hint="eastAsia" w:ascii="仿宋" w:hAnsi="仿宋" w:eastAsia="仿宋" w:cs="仿宋"/>
                <w:color w:val="auto"/>
                <w:sz w:val="24"/>
                <w:szCs w:val="24"/>
                <w:highlight w:val="none"/>
                <w:lang w:eastAsia="zh-CN"/>
              </w:rPr>
              <w:t>。优</w:t>
            </w:r>
            <w:r>
              <w:rPr>
                <w:rFonts w:hint="eastAsia" w:ascii="仿宋" w:hAnsi="仿宋" w:eastAsia="仿宋" w:cs="仿宋_GB2312"/>
                <w:color w:val="auto"/>
                <w:kern w:val="0"/>
                <w:sz w:val="24"/>
                <w:szCs w:val="24"/>
                <w:highlight w:val="none"/>
                <w:lang w:val="en-US" w:eastAsia="zh-CN"/>
              </w:rPr>
              <w:t>7.1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10</w:t>
            </w:r>
            <w:r>
              <w:rPr>
                <w:rFonts w:hint="eastAsia" w:ascii="仿宋" w:hAnsi="仿宋" w:eastAsia="仿宋" w:cs="仿宋_GB2312"/>
                <w:color w:val="auto"/>
                <w:kern w:val="0"/>
                <w:sz w:val="24"/>
                <w:szCs w:val="24"/>
                <w:highlight w:val="none"/>
              </w:rPr>
              <w:t>分，良</w:t>
            </w:r>
            <w:r>
              <w:rPr>
                <w:rFonts w:hint="eastAsia" w:ascii="仿宋" w:hAnsi="仿宋" w:eastAsia="仿宋" w:cs="仿宋_GB2312"/>
                <w:color w:val="auto"/>
                <w:kern w:val="0"/>
                <w:sz w:val="24"/>
                <w:szCs w:val="24"/>
                <w:highlight w:val="none"/>
                <w:lang w:val="en-US" w:eastAsia="zh-CN"/>
              </w:rPr>
              <w:t>4.1-7</w:t>
            </w:r>
            <w:r>
              <w:rPr>
                <w:rFonts w:hint="eastAsia" w:ascii="仿宋" w:hAnsi="仿宋" w:eastAsia="仿宋" w:cs="仿宋_GB2312"/>
                <w:color w:val="auto"/>
                <w:kern w:val="0"/>
                <w:sz w:val="24"/>
                <w:szCs w:val="24"/>
                <w:highlight w:val="none"/>
              </w:rPr>
              <w:t>分，一般</w:t>
            </w:r>
            <w:r>
              <w:rPr>
                <w:rFonts w:hint="eastAsia" w:ascii="仿宋" w:hAnsi="仿宋" w:eastAsia="仿宋" w:cs="仿宋_GB2312"/>
                <w:color w:val="auto"/>
                <w:kern w:val="0"/>
                <w:sz w:val="24"/>
                <w:szCs w:val="24"/>
                <w:highlight w:val="none"/>
                <w:lang w:val="en-US" w:eastAsia="zh-CN"/>
              </w:rPr>
              <w:t>2.1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4</w:t>
            </w:r>
            <w:r>
              <w:rPr>
                <w:rFonts w:hint="eastAsia" w:ascii="仿宋" w:hAnsi="仿宋" w:eastAsia="仿宋" w:cs="仿宋_GB2312"/>
                <w:color w:val="auto"/>
                <w:kern w:val="0"/>
                <w:sz w:val="24"/>
                <w:szCs w:val="24"/>
                <w:highlight w:val="none"/>
              </w:rPr>
              <w:t>分</w:t>
            </w:r>
            <w:r>
              <w:rPr>
                <w:rFonts w:hint="eastAsia" w:ascii="仿宋" w:hAnsi="仿宋" w:eastAsia="仿宋" w:cs="仿宋_GB2312"/>
                <w:color w:val="auto"/>
                <w:kern w:val="0"/>
                <w:sz w:val="24"/>
                <w:szCs w:val="24"/>
                <w:highlight w:val="none"/>
                <w:lang w:eastAsia="zh-CN"/>
              </w:rPr>
              <w:t>，差</w:t>
            </w:r>
            <w:r>
              <w:rPr>
                <w:rFonts w:hint="eastAsia" w:ascii="仿宋" w:hAnsi="仿宋" w:eastAsia="仿宋" w:cs="仿宋_GB2312"/>
                <w:color w:val="auto"/>
                <w:kern w:val="0"/>
                <w:sz w:val="24"/>
                <w:szCs w:val="24"/>
                <w:highlight w:val="none"/>
                <w:lang w:val="en-US" w:eastAsia="zh-CN"/>
              </w:rPr>
              <w:t>1-2分，</w:t>
            </w:r>
            <w:r>
              <w:rPr>
                <w:rFonts w:hint="eastAsia" w:ascii="仿宋" w:hAnsi="仿宋" w:eastAsia="仿宋" w:cs="仿宋_GB2312"/>
                <w:color w:val="auto"/>
                <w:kern w:val="0"/>
                <w:sz w:val="24"/>
                <w:szCs w:val="24"/>
                <w:highlight w:val="none"/>
                <w:lang w:eastAsia="zh-CN"/>
              </w:rPr>
              <w:t>不提供不得分</w:t>
            </w:r>
          </w:p>
        </w:tc>
        <w:tc>
          <w:tcPr>
            <w:tcW w:w="750" w:type="dxa"/>
            <w:noWrap w:val="0"/>
            <w:vAlign w:val="center"/>
          </w:tcPr>
          <w:p>
            <w:pPr>
              <w:widowControl/>
              <w:adjustRightInd w:val="0"/>
              <w:spacing w:line="360" w:lineRule="auto"/>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pPr>
              <w:adjustRightInd w:val="0"/>
              <w:jc w:val="center"/>
              <w:rPr>
                <w:rFonts w:hint="default" w:ascii="仿宋" w:hAnsi="仿宋" w:eastAsia="仿宋" w:cs="仿宋_GB2312"/>
                <w:color w:val="auto"/>
                <w:kern w:val="0"/>
                <w:sz w:val="24"/>
                <w:szCs w:val="24"/>
                <w:highlight w:val="none"/>
                <w:lang w:val="en-US" w:eastAsia="zh-CN"/>
              </w:rPr>
            </w:pPr>
            <w:r>
              <w:rPr>
                <w:rFonts w:hint="eastAsia" w:ascii="仿宋" w:hAnsi="仿宋" w:eastAsia="仿宋" w:cs="仿宋_GB2312"/>
                <w:color w:val="auto"/>
                <w:kern w:val="0"/>
                <w:sz w:val="24"/>
                <w:szCs w:val="24"/>
                <w:highlight w:val="none"/>
                <w:lang w:val="en-US" w:eastAsia="zh-CN"/>
              </w:rPr>
              <w:t>7</w:t>
            </w:r>
          </w:p>
        </w:tc>
        <w:tc>
          <w:tcPr>
            <w:tcW w:w="1499" w:type="dxa"/>
            <w:noWrap w:val="0"/>
            <w:vAlign w:val="center"/>
          </w:tcPr>
          <w:p>
            <w:pPr>
              <w:adjustRightInd w:val="0"/>
              <w:jc w:val="center"/>
              <w:rPr>
                <w:rFonts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团队配置</w:t>
            </w:r>
          </w:p>
        </w:tc>
        <w:tc>
          <w:tcPr>
            <w:tcW w:w="6611" w:type="dxa"/>
            <w:noWrap w:val="0"/>
            <w:vAlign w:val="center"/>
          </w:tcPr>
          <w:p>
            <w:pPr>
              <w:adjustRightInd w:val="0"/>
              <w:jc w:val="left"/>
              <w:rPr>
                <w:rFonts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投标人是否具有完善的运营能力，是否拥有创意策划人员、采编人员、设计人员、摄影摄像人员等，</w:t>
            </w:r>
            <w:r>
              <w:rPr>
                <w:rFonts w:hint="eastAsia" w:ascii="仿宋" w:hAnsi="仿宋" w:eastAsia="仿宋" w:cs="仿宋"/>
                <w:color w:val="auto"/>
                <w:sz w:val="24"/>
                <w:szCs w:val="24"/>
                <w:highlight w:val="none"/>
              </w:rPr>
              <w:t>由评委横向比较打分</w:t>
            </w:r>
            <w:r>
              <w:rPr>
                <w:rFonts w:hint="eastAsia" w:ascii="仿宋" w:hAnsi="仿宋" w:eastAsia="仿宋" w:cs="仿宋_GB2312"/>
                <w:color w:val="auto"/>
                <w:kern w:val="0"/>
                <w:sz w:val="24"/>
                <w:szCs w:val="24"/>
                <w:highlight w:val="none"/>
              </w:rPr>
              <w:t>，</w:t>
            </w:r>
            <w:r>
              <w:rPr>
                <w:rFonts w:hint="eastAsia" w:ascii="仿宋" w:hAnsi="仿宋" w:eastAsia="仿宋" w:cs="仿宋"/>
                <w:color w:val="auto"/>
                <w:sz w:val="24"/>
                <w:szCs w:val="24"/>
                <w:highlight w:val="none"/>
                <w:lang w:eastAsia="zh-CN"/>
              </w:rPr>
              <w:t>优</w:t>
            </w:r>
            <w:r>
              <w:rPr>
                <w:rFonts w:hint="eastAsia" w:ascii="仿宋" w:hAnsi="仿宋" w:eastAsia="仿宋" w:cs="仿宋_GB2312"/>
                <w:color w:val="auto"/>
                <w:kern w:val="0"/>
                <w:sz w:val="24"/>
                <w:szCs w:val="24"/>
                <w:highlight w:val="none"/>
                <w:lang w:val="en-US" w:eastAsia="zh-CN"/>
              </w:rPr>
              <w:t>6.1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8</w:t>
            </w:r>
            <w:r>
              <w:rPr>
                <w:rFonts w:hint="eastAsia" w:ascii="仿宋" w:hAnsi="仿宋" w:eastAsia="仿宋" w:cs="仿宋_GB2312"/>
                <w:color w:val="auto"/>
                <w:kern w:val="0"/>
                <w:sz w:val="24"/>
                <w:szCs w:val="24"/>
                <w:highlight w:val="none"/>
              </w:rPr>
              <w:t>分，良</w:t>
            </w:r>
            <w:r>
              <w:rPr>
                <w:rFonts w:hint="eastAsia" w:ascii="仿宋" w:hAnsi="仿宋" w:eastAsia="仿宋" w:cs="仿宋_GB2312"/>
                <w:color w:val="auto"/>
                <w:kern w:val="0"/>
                <w:sz w:val="24"/>
                <w:szCs w:val="24"/>
                <w:highlight w:val="none"/>
                <w:lang w:val="en-US" w:eastAsia="zh-CN"/>
              </w:rPr>
              <w:t>4.1-6</w:t>
            </w:r>
            <w:r>
              <w:rPr>
                <w:rFonts w:hint="eastAsia" w:ascii="仿宋" w:hAnsi="仿宋" w:eastAsia="仿宋" w:cs="仿宋_GB2312"/>
                <w:color w:val="auto"/>
                <w:kern w:val="0"/>
                <w:sz w:val="24"/>
                <w:szCs w:val="24"/>
                <w:highlight w:val="none"/>
              </w:rPr>
              <w:t>分，一般</w:t>
            </w:r>
            <w:r>
              <w:rPr>
                <w:rFonts w:hint="eastAsia" w:ascii="仿宋" w:hAnsi="仿宋" w:eastAsia="仿宋" w:cs="仿宋_GB2312"/>
                <w:color w:val="auto"/>
                <w:kern w:val="0"/>
                <w:sz w:val="24"/>
                <w:szCs w:val="24"/>
                <w:highlight w:val="none"/>
                <w:lang w:val="en-US" w:eastAsia="zh-CN"/>
              </w:rPr>
              <w:t>2.1</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en-US" w:eastAsia="zh-CN"/>
              </w:rPr>
              <w:t>4</w:t>
            </w:r>
            <w:r>
              <w:rPr>
                <w:rFonts w:hint="eastAsia" w:ascii="仿宋" w:hAnsi="仿宋" w:eastAsia="仿宋" w:cs="仿宋_GB2312"/>
                <w:color w:val="auto"/>
                <w:kern w:val="0"/>
                <w:sz w:val="24"/>
                <w:szCs w:val="24"/>
                <w:highlight w:val="none"/>
              </w:rPr>
              <w:t>分</w:t>
            </w:r>
            <w:r>
              <w:rPr>
                <w:rFonts w:hint="eastAsia" w:ascii="仿宋" w:hAnsi="仿宋" w:eastAsia="仿宋" w:cs="仿宋_GB2312"/>
                <w:color w:val="auto"/>
                <w:kern w:val="0"/>
                <w:sz w:val="24"/>
                <w:szCs w:val="24"/>
                <w:highlight w:val="none"/>
                <w:lang w:eastAsia="zh-CN"/>
              </w:rPr>
              <w:t>，差</w:t>
            </w:r>
            <w:r>
              <w:rPr>
                <w:rFonts w:hint="eastAsia" w:ascii="仿宋" w:hAnsi="仿宋" w:eastAsia="仿宋" w:cs="仿宋_GB2312"/>
                <w:color w:val="auto"/>
                <w:kern w:val="0"/>
                <w:sz w:val="24"/>
                <w:szCs w:val="24"/>
                <w:highlight w:val="none"/>
                <w:lang w:val="en-US" w:eastAsia="zh-CN"/>
              </w:rPr>
              <w:t>1-2分，</w:t>
            </w:r>
            <w:r>
              <w:rPr>
                <w:rFonts w:hint="eastAsia" w:ascii="仿宋" w:hAnsi="仿宋" w:eastAsia="仿宋" w:cs="仿宋_GB2312"/>
                <w:color w:val="auto"/>
                <w:kern w:val="0"/>
                <w:sz w:val="24"/>
                <w:szCs w:val="24"/>
                <w:highlight w:val="none"/>
                <w:lang w:eastAsia="zh-CN"/>
              </w:rPr>
              <w:t>不提供不得分</w:t>
            </w:r>
          </w:p>
        </w:tc>
        <w:tc>
          <w:tcPr>
            <w:tcW w:w="750" w:type="dxa"/>
            <w:noWrap w:val="0"/>
            <w:vAlign w:val="center"/>
          </w:tcPr>
          <w:p>
            <w:pPr>
              <w:widowControl/>
              <w:adjustRightInd w:val="0"/>
              <w:spacing w:line="360" w:lineRule="auto"/>
              <w:jc w:val="center"/>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lang w:val="en-US" w:eastAsia="zh-CN"/>
              </w:rPr>
              <w:t>8</w:t>
            </w:r>
          </w:p>
        </w:tc>
      </w:tr>
    </w:tbl>
    <w:p>
      <w:pPr>
        <w:spacing w:line="440" w:lineRule="exact"/>
        <w:ind w:firstLine="482"/>
        <w:rPr>
          <w:rFonts w:hint="eastAsia" w:ascii="Times New Roman" w:hAnsi="宋体" w:eastAsia="宋体" w:cs="Courier New"/>
          <w:color w:val="auto"/>
          <w:kern w:val="2"/>
          <w:sz w:val="21"/>
          <w:szCs w:val="21"/>
          <w:highlight w:val="none"/>
          <w:lang w:val="en-US" w:eastAsia="zh-CN" w:bidi="ar-SA"/>
        </w:rPr>
      </w:pPr>
    </w:p>
    <w:p>
      <w:pPr>
        <w:tabs>
          <w:tab w:val="left" w:pos="820"/>
        </w:tabs>
        <w:spacing w:line="440" w:lineRule="exact"/>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lang w:val="zh-CN"/>
        </w:rPr>
        <w:t>、价格标满分为</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0</w:t>
      </w:r>
      <w:r>
        <w:rPr>
          <w:rFonts w:hint="eastAsia" w:ascii="宋体" w:hAnsi="宋体" w:cs="宋体"/>
          <w:b/>
          <w:color w:val="auto"/>
          <w:sz w:val="24"/>
          <w:szCs w:val="24"/>
          <w:highlight w:val="none"/>
          <w:lang w:val="zh-CN"/>
        </w:rPr>
        <w:t>分。</w:t>
      </w:r>
    </w:p>
    <w:p>
      <w:pPr>
        <w:spacing w:line="440" w:lineRule="exact"/>
        <w:ind w:right="78" w:rightChars="3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.1期望比率为</w:t>
      </w:r>
      <w:r>
        <w:rPr>
          <w:rFonts w:hint="eastAsia" w:ascii="仿宋" w:hAnsi="仿宋" w:eastAsia="仿宋" w:cs="仿宋"/>
          <w:color w:val="auto"/>
          <w:sz w:val="24"/>
          <w:highlight w:val="none"/>
          <w:lang w:val="en-US" w:eastAsia="zh-CN"/>
        </w:rPr>
        <w:t>89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99</w:t>
      </w:r>
      <w:r>
        <w:rPr>
          <w:rFonts w:hint="eastAsia" w:ascii="仿宋" w:hAnsi="仿宋" w:eastAsia="仿宋" w:cs="仿宋"/>
          <w:color w:val="auto"/>
          <w:sz w:val="24"/>
          <w:highlight w:val="none"/>
        </w:rPr>
        <w:t>%；投标比率Xi=投标总价/投标总价上限价。投标单位比率超出报价区间范围的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作废标处理。</w:t>
      </w:r>
    </w:p>
    <w:p>
      <w:pPr>
        <w:spacing w:line="440" w:lineRule="exact"/>
        <w:ind w:right="78" w:rightChars="37"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比率区间抽签值共设7个数字，分别代表为：比率</w:t>
      </w:r>
      <w:r>
        <w:rPr>
          <w:rFonts w:hint="eastAsia" w:ascii="仿宋" w:hAnsi="仿宋" w:eastAsia="仿宋" w:cs="仿宋"/>
          <w:color w:val="auto"/>
          <w:kern w:val="0"/>
          <w:sz w:val="24"/>
          <w:highlight w:val="none"/>
          <w:lang w:val="en-US" w:eastAsia="zh-CN"/>
        </w:rPr>
        <w:t>89</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比率</w:t>
      </w:r>
      <w:r>
        <w:rPr>
          <w:rFonts w:hint="eastAsia" w:ascii="仿宋" w:hAnsi="仿宋" w:eastAsia="仿宋" w:cs="仿宋"/>
          <w:color w:val="auto"/>
          <w:kern w:val="0"/>
          <w:sz w:val="24"/>
          <w:highlight w:val="none"/>
          <w:lang w:val="en-US" w:eastAsia="zh-CN"/>
        </w:rPr>
        <w:t>91</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比率</w:t>
      </w:r>
      <w:r>
        <w:rPr>
          <w:rFonts w:hint="eastAsia" w:ascii="仿宋" w:hAnsi="仿宋" w:eastAsia="仿宋" w:cs="仿宋"/>
          <w:color w:val="auto"/>
          <w:sz w:val="24"/>
          <w:highlight w:val="none"/>
          <w:lang w:val="en-US" w:eastAsia="zh-CN"/>
        </w:rPr>
        <w:t>93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比率</w:t>
      </w:r>
      <w:r>
        <w:rPr>
          <w:rFonts w:hint="eastAsia" w:ascii="仿宋" w:hAnsi="仿宋" w:eastAsia="仿宋" w:cs="仿宋"/>
          <w:color w:val="auto"/>
          <w:kern w:val="0"/>
          <w:sz w:val="24"/>
          <w:highlight w:val="none"/>
          <w:lang w:val="en-US" w:eastAsia="zh-CN"/>
        </w:rPr>
        <w:t>95</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比率</w:t>
      </w:r>
      <w:r>
        <w:rPr>
          <w:rFonts w:hint="eastAsia" w:ascii="仿宋" w:hAnsi="仿宋" w:eastAsia="仿宋" w:cs="仿宋"/>
          <w:color w:val="auto"/>
          <w:kern w:val="0"/>
          <w:sz w:val="24"/>
          <w:highlight w:val="none"/>
          <w:lang w:val="en-US" w:eastAsia="zh-CN"/>
        </w:rPr>
        <w:t>97</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比率</w:t>
      </w:r>
      <w:r>
        <w:rPr>
          <w:rFonts w:hint="eastAsia" w:ascii="仿宋" w:hAnsi="仿宋" w:eastAsia="仿宋" w:cs="仿宋"/>
          <w:color w:val="auto"/>
          <w:kern w:val="0"/>
          <w:sz w:val="24"/>
          <w:highlight w:val="none"/>
          <w:lang w:val="en-US" w:eastAsia="zh-CN"/>
        </w:rPr>
        <w:t>99</w:t>
      </w:r>
      <w:r>
        <w:rPr>
          <w:rFonts w:hint="eastAsia" w:ascii="仿宋" w:hAnsi="仿宋" w:eastAsia="仿宋" w:cs="仿宋"/>
          <w:color w:val="auto"/>
          <w:kern w:val="0"/>
          <w:sz w:val="24"/>
          <w:highlight w:val="none"/>
        </w:rPr>
        <w:t>%；</w:t>
      </w:r>
    </w:p>
    <w:p>
      <w:pPr>
        <w:spacing w:line="440" w:lineRule="exact"/>
        <w:ind w:right="78" w:rightChars="3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招标人代表在招标文件确定的比率区间内各抽取2个比率（X1、X2），算术平均后确定为满分比率X；投标人的投标比率与之相除，当投标比率等于满分比率时得满分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0分；每小于满分比率1个百分点扣0.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分；大于满分比率1个百分点扣</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分；不足部分按比例扣除。</w:t>
      </w:r>
    </w:p>
    <w:p>
      <w:pPr>
        <w:spacing w:line="440" w:lineRule="exact"/>
        <w:ind w:right="78" w:rightChars="3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满分比率计算公式： X=(X1＋X2)/2</w:t>
      </w:r>
    </w:p>
    <w:p>
      <w:pPr>
        <w:spacing w:line="440" w:lineRule="exact"/>
        <w:ind w:right="78" w:rightChars="3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6.5</w:t>
      </w:r>
      <w:r>
        <w:rPr>
          <w:rFonts w:hint="eastAsia" w:ascii="仿宋" w:hAnsi="仿宋" w:eastAsia="仿宋" w:cs="仿宋"/>
          <w:color w:val="auto"/>
          <w:sz w:val="24"/>
          <w:highlight w:val="none"/>
        </w:rPr>
        <w:t>计算规则： Xi为各投标单位的投标比率（当Xi＞X时，得分＝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0―（Xi―X）/X×100×</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；当Xi＜X时，得分＝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0―（X―Xi）/X×100×0.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p>
      <w:pPr>
        <w:pStyle w:val="2"/>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6.6</w:t>
      </w:r>
      <w:r>
        <w:rPr>
          <w:rFonts w:hint="eastAsia" w:ascii="仿宋" w:hAnsi="仿宋" w:eastAsia="仿宋" w:cs="仿宋"/>
          <w:color w:val="auto"/>
          <w:sz w:val="24"/>
          <w:szCs w:val="24"/>
          <w:highlight w:val="none"/>
        </w:rPr>
        <w:t>如果用数字表示的数额与用文字表示的数额不一致时，以文字数额为准。</w:t>
      </w:r>
      <w:r>
        <w:rPr>
          <w:rFonts w:hint="eastAsia" w:ascii="仿宋" w:hAnsi="仿宋" w:eastAsia="仿宋" w:cs="仿宋"/>
          <w:color w:val="auto"/>
          <w:highlight w:val="none"/>
        </w:rPr>
        <w:t> </w:t>
      </w:r>
    </w:p>
    <w:p>
      <w:pPr>
        <w:spacing w:line="440" w:lineRule="exact"/>
        <w:ind w:right="78" w:rightChars="3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6.7</w:t>
      </w:r>
      <w:r>
        <w:rPr>
          <w:rFonts w:hint="eastAsia" w:ascii="仿宋" w:hAnsi="仿宋" w:eastAsia="仿宋" w:cs="仿宋"/>
          <w:color w:val="auto"/>
          <w:sz w:val="24"/>
          <w:highlight w:val="none"/>
        </w:rPr>
        <w:t>按得分高低确定1名中标候选人；当得分出现并列时，由招标人当场抽签确定。</w:t>
      </w:r>
    </w:p>
    <w:p>
      <w:pPr>
        <w:spacing w:line="440" w:lineRule="exact"/>
        <w:ind w:firstLine="482" w:firstLineChars="200"/>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2"/>
        <w:rPr>
          <w:rFonts w:ascii="宋体" w:hAnsi="宋体" w:cs="宋体"/>
          <w:b/>
          <w:bCs/>
          <w:color w:val="auto"/>
          <w:sz w:val="24"/>
          <w:highlight w:val="none"/>
        </w:rPr>
      </w:pPr>
    </w:p>
    <w:p>
      <w:pPr>
        <w:pStyle w:val="3"/>
        <w:tabs>
          <w:tab w:val="left" w:pos="851"/>
        </w:tabs>
        <w:spacing w:before="0" w:after="0" w:line="440" w:lineRule="exact"/>
        <w:jc w:val="center"/>
        <w:rPr>
          <w:rFonts w:hint="default" w:ascii="仿宋" w:hAnsi="仿宋" w:eastAsia="仿宋" w:cs="仿宋"/>
          <w:color w:val="auto"/>
          <w:sz w:val="28"/>
          <w:szCs w:val="28"/>
          <w:highlight w:val="none"/>
          <w:lang w:val="en-US" w:eastAsia="zh-CN"/>
        </w:rPr>
      </w:pPr>
      <w:bookmarkStart w:id="67" w:name="_Toc21178"/>
      <w:r>
        <w:rPr>
          <w:rFonts w:hint="eastAsia" w:ascii="仿宋" w:hAnsi="仿宋" w:eastAsia="仿宋" w:cs="仿宋"/>
          <w:color w:val="auto"/>
          <w:sz w:val="28"/>
          <w:szCs w:val="28"/>
          <w:highlight w:val="none"/>
          <w:lang w:val="en-US" w:eastAsia="zh-CN"/>
        </w:rPr>
        <w:t xml:space="preserve">十二、 </w:t>
      </w:r>
      <w:r>
        <w:rPr>
          <w:rFonts w:hint="eastAsia" w:ascii="仿宋" w:hAnsi="仿宋" w:eastAsia="仿宋" w:cs="仿宋"/>
          <w:color w:val="auto"/>
          <w:sz w:val="28"/>
          <w:szCs w:val="28"/>
          <w:highlight w:val="none"/>
        </w:rPr>
        <w:t>应提交的有关格式范例</w:t>
      </w:r>
      <w:bookmarkEnd w:id="67"/>
    </w:p>
    <w:p>
      <w:pPr>
        <w:bidi w:val="0"/>
        <w:rPr>
          <w:rFonts w:hint="eastAsia"/>
          <w:color w:val="auto"/>
          <w:highlight w:val="none"/>
        </w:rPr>
      </w:pPr>
      <w:bookmarkStart w:id="68" w:name="_Toc18695"/>
    </w:p>
    <w:p>
      <w:pPr>
        <w:bidi w:val="0"/>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bidi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资格文件部分</w:t>
      </w:r>
    </w:p>
    <w:p>
      <w:pPr>
        <w:pStyle w:val="2"/>
        <w:rPr>
          <w:rFonts w:hint="eastAsia"/>
          <w:color w:val="auto"/>
          <w:highlight w:val="none"/>
        </w:rPr>
      </w:pPr>
    </w:p>
    <w:p>
      <w:pPr>
        <w:bidi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pPr>
        <w:bidi w:val="0"/>
        <w:rPr>
          <w:rFonts w:hint="eastAsia"/>
          <w:color w:val="auto"/>
          <w:highlight w:val="none"/>
        </w:rPr>
      </w:pPr>
    </w:p>
    <w:p>
      <w:pPr>
        <w:spacing w:line="360" w:lineRule="auto"/>
        <w:ind w:firstLine="600" w:firstLineChars="250"/>
        <w:jc w:val="left"/>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1）法定代表人授权证书原件…………………………………………（页码）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rPr>
        <w:t>）营业执照副本</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lang w:val="en-US" w:eastAsia="zh-CN"/>
        </w:rPr>
        <w:t>复印件</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）全权代表身份证（复印件） ……………………………………（页码）</w:t>
      </w:r>
    </w:p>
    <w:p>
      <w:pPr>
        <w:spacing w:line="360" w:lineRule="auto"/>
        <w:ind w:firstLine="480" w:firstLineChars="200"/>
        <w:jc w:val="left"/>
        <w:rPr>
          <w:rFonts w:hint="eastAsia" w:ascii="仿宋" w:hAnsi="仿宋" w:eastAsia="仿宋" w:cs="仿宋_GB2312"/>
          <w:b/>
          <w:bCs/>
          <w:color w:val="auto"/>
          <w:kern w:val="0"/>
          <w:sz w:val="24"/>
          <w:highlight w:val="none"/>
        </w:rPr>
      </w:pP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法定代表人的身份证（复印件）…………………………………（页码）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（5）最近一年度资产负债表等财务报表资料文件(新成立的公司提供情况说明)</w:t>
      </w:r>
      <w:r>
        <w:rPr>
          <w:rFonts w:hint="eastAsia" w:ascii="仿宋" w:hAnsi="仿宋" w:eastAsia="仿宋" w:cs="仿宋_GB2312"/>
          <w:color w:val="auto"/>
          <w:kern w:val="0"/>
          <w:sz w:val="24"/>
          <w:highlight w:val="none"/>
          <w:lang w:val="en-US" w:eastAsia="zh-CN"/>
        </w:rPr>
        <w:t>复印</w:t>
      </w:r>
      <w:r>
        <w:rPr>
          <w:rFonts w:hint="eastAsia" w:ascii="仿宋" w:hAnsi="仿宋" w:eastAsia="仿宋" w:cs="仿宋_GB2312"/>
          <w:color w:val="auto"/>
          <w:kern w:val="0"/>
          <w:sz w:val="24"/>
          <w:highlight w:val="none"/>
        </w:rPr>
        <w:t>件………………………………………………………………………（页码）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（6）信用中国等网站</w:t>
      </w:r>
      <w:r>
        <w:rPr>
          <w:rFonts w:ascii="仿宋" w:hAnsi="仿宋" w:eastAsia="仿宋" w:cs="仿宋_GB2312"/>
          <w:color w:val="auto"/>
          <w:kern w:val="0"/>
          <w:sz w:val="24"/>
          <w:highlight w:val="none"/>
        </w:rPr>
        <w:t>信用</w:t>
      </w:r>
      <w:r>
        <w:rPr>
          <w:rFonts w:hint="eastAsia" w:ascii="仿宋" w:hAnsi="仿宋" w:eastAsia="仿宋" w:cs="仿宋_GB2312"/>
          <w:color w:val="auto"/>
          <w:kern w:val="0"/>
          <w:sz w:val="24"/>
          <w:highlight w:val="none"/>
        </w:rPr>
        <w:t>查询结果……………………………………（页码）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7</w:t>
      </w:r>
      <w:r>
        <w:rPr>
          <w:rFonts w:hint="eastAsia" w:ascii="仿宋" w:hAnsi="仿宋" w:eastAsia="仿宋" w:cs="仿宋_GB2312"/>
          <w:color w:val="auto"/>
          <w:kern w:val="0"/>
          <w:sz w:val="24"/>
          <w:highlight w:val="none"/>
        </w:rPr>
        <w:t>）投标声明函 …………………………………………………………（页码）</w:t>
      </w:r>
    </w:p>
    <w:p>
      <w:pPr>
        <w:spacing w:line="360" w:lineRule="auto"/>
        <w:ind w:firstLine="480" w:firstLineChars="200"/>
        <w:jc w:val="left"/>
        <w:rPr>
          <w:rFonts w:hint="eastAsia" w:ascii="仿宋" w:hAnsi="仿宋" w:eastAsia="仿宋" w:cs="仿宋_GB2312"/>
          <w:color w:val="auto"/>
          <w:kern w:val="0"/>
          <w:sz w:val="24"/>
          <w:highlight w:val="none"/>
        </w:rPr>
      </w:pPr>
    </w:p>
    <w:p>
      <w:pPr>
        <w:snapToGrid w:val="0"/>
        <w:spacing w:line="360" w:lineRule="auto"/>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pStyle w:val="2"/>
        <w:rPr>
          <w:rFonts w:hint="eastAsia" w:ascii="仿宋" w:hAnsi="仿宋" w:eastAsia="仿宋" w:cs="仿宋_GB2312"/>
          <w:color w:val="auto"/>
          <w:sz w:val="24"/>
          <w:highlight w:val="none"/>
        </w:rPr>
      </w:pPr>
    </w:p>
    <w:p>
      <w:pPr>
        <w:bidi w:val="0"/>
        <w:rPr>
          <w:rFonts w:hint="eastAsia"/>
          <w:color w:val="auto"/>
          <w:highlight w:val="none"/>
        </w:rPr>
      </w:pPr>
    </w:p>
    <w:p>
      <w:pPr>
        <w:bidi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法定代表人授权委托书</w:t>
      </w:r>
    </w:p>
    <w:p>
      <w:pPr>
        <w:pStyle w:val="2"/>
        <w:numPr>
          <w:ilvl w:val="0"/>
          <w:numId w:val="0"/>
        </w:numPr>
        <w:rPr>
          <w:rFonts w:hint="eastAsia"/>
          <w:color w:val="auto"/>
          <w:highlight w:val="none"/>
        </w:rPr>
      </w:pP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576"/>
        <w:rPr>
          <w:rFonts w:hint="eastAsia"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（投标人全称） </w:t>
      </w:r>
      <w:r>
        <w:rPr>
          <w:rFonts w:hint="eastAsia" w:ascii="仿宋" w:eastAsia="仿宋"/>
          <w:color w:val="auto"/>
          <w:sz w:val="24"/>
          <w:highlight w:val="none"/>
        </w:rPr>
        <w:t>的法定代表人，，现授权委托本单位在职职工</w:t>
      </w:r>
      <w:r>
        <w:rPr>
          <w:rFonts w:hint="eastAsia" w:ascii="仿宋" w:hAnsi="仿宋" w:eastAsia="仿宋" w:cs="仿宋_GB2312"/>
          <w:color w:val="auto"/>
          <w:kern w:val="0"/>
          <w:sz w:val="24"/>
          <w:highlight w:val="none"/>
          <w:u w:val="single"/>
          <w:lang w:val="zh-CN"/>
        </w:rPr>
        <w:t xml:space="preserve"> </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eastAsia="仿宋"/>
          <w:color w:val="auto"/>
          <w:sz w:val="24"/>
          <w:highlight w:val="none"/>
          <w:u w:val="single"/>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bidi w:val="0"/>
        <w:rPr>
          <w:rFonts w:hint="eastAsia"/>
          <w:color w:val="auto"/>
          <w:highlight w:val="none"/>
        </w:rPr>
      </w:pPr>
    </w:p>
    <w:p>
      <w:pPr>
        <w:bidi w:val="0"/>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bidi w:val="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二、投标声明函</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eastAsia="仿宋"/>
          <w:color w:val="auto"/>
          <w:sz w:val="24"/>
          <w:highlight w:val="none"/>
          <w:u w:val="single"/>
        </w:rPr>
        <w:t>（投标人全称）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的投标，为此，我方就本次投标有关事项郑重申明如下：</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6、投标文件自开标日起有效期为90天。</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8、我方中标后拟在中标后将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eastAsia="仿宋" w:cs="仿宋_GB2312"/>
          <w:color w:val="auto"/>
          <w:sz w:val="24"/>
          <w:highlight w:val="none"/>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bookmarkEnd w:id="68"/>
    <w:p>
      <w:pPr>
        <w:rPr>
          <w:rFonts w:ascii="宋体" w:hAnsi="宋体"/>
          <w:color w:val="auto"/>
          <w:spacing w:val="-20"/>
          <w:kern w:val="28"/>
          <w:szCs w:val="44"/>
          <w:highlight w:val="none"/>
        </w:rPr>
      </w:pPr>
      <w:bookmarkStart w:id="69" w:name="_Toc519851269"/>
      <w:bookmarkStart w:id="70" w:name="_Toc132296899"/>
    </w:p>
    <w:p>
      <w:pPr>
        <w:pStyle w:val="2"/>
        <w:rPr>
          <w:rFonts w:ascii="宋体" w:hAnsi="宋体"/>
          <w:color w:val="auto"/>
          <w:spacing w:val="-20"/>
          <w:kern w:val="28"/>
          <w:szCs w:val="44"/>
          <w:highlight w:val="none"/>
        </w:rPr>
      </w:pPr>
    </w:p>
    <w:p>
      <w:pPr>
        <w:pStyle w:val="2"/>
        <w:rPr>
          <w:rFonts w:ascii="宋体" w:hAnsi="宋体"/>
          <w:color w:val="auto"/>
          <w:spacing w:val="-20"/>
          <w:kern w:val="28"/>
          <w:szCs w:val="44"/>
          <w:highlight w:val="none"/>
        </w:rPr>
      </w:pPr>
    </w:p>
    <w:p>
      <w:pPr>
        <w:pStyle w:val="2"/>
        <w:rPr>
          <w:rFonts w:ascii="宋体" w:hAnsi="宋体"/>
          <w:color w:val="auto"/>
          <w:spacing w:val="-20"/>
          <w:kern w:val="28"/>
          <w:szCs w:val="44"/>
          <w:highlight w:val="none"/>
        </w:rPr>
      </w:pPr>
    </w:p>
    <w:p>
      <w:pPr>
        <w:pStyle w:val="2"/>
        <w:rPr>
          <w:rFonts w:ascii="宋体" w:hAnsi="宋体"/>
          <w:color w:val="auto"/>
          <w:spacing w:val="-20"/>
          <w:kern w:val="28"/>
          <w:szCs w:val="44"/>
          <w:highlight w:val="none"/>
        </w:rPr>
      </w:pPr>
    </w:p>
    <w:bookmarkEnd w:id="69"/>
    <w:bookmarkEnd w:id="70"/>
    <w:p>
      <w:pPr>
        <w:pStyle w:val="2"/>
        <w:rPr>
          <w:rFonts w:ascii="宋体" w:hAnsi="宋体"/>
          <w:color w:val="auto"/>
          <w:kern w:val="2"/>
          <w:sz w:val="28"/>
          <w:szCs w:val="24"/>
          <w:highlight w:val="none"/>
        </w:rPr>
      </w:pPr>
      <w:bookmarkStart w:id="71" w:name="_Toc328644410"/>
      <w:bookmarkStart w:id="72" w:name="_Toc16811"/>
      <w:bookmarkStart w:id="73" w:name="_Toc519851270"/>
      <w:bookmarkStart w:id="74" w:name="_Toc264116928"/>
      <w:bookmarkStart w:id="75" w:name="_Toc387308402"/>
    </w:p>
    <w:p>
      <w:pPr>
        <w:bidi w:val="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资格（资信）证明文件部分</w:t>
      </w:r>
    </w:p>
    <w:p>
      <w:pPr>
        <w:bidi w:val="0"/>
        <w:rPr>
          <w:rFonts w:hint="eastAsia"/>
          <w:color w:val="auto"/>
          <w:highlight w:val="none"/>
        </w:rPr>
      </w:pPr>
    </w:p>
    <w:p>
      <w:pPr>
        <w:bidi w:val="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目录</w:t>
      </w:r>
    </w:p>
    <w:p>
      <w:pPr>
        <w:pStyle w:val="215"/>
        <w:spacing w:line="360" w:lineRule="auto"/>
        <w:rPr>
          <w:rFonts w:hint="eastAsia" w:ascii="仿宋" w:eastAsia="仿宋" w:cs="仿宋_GB2312"/>
          <w:color w:val="auto"/>
          <w:highlight w:val="none"/>
        </w:rPr>
      </w:pPr>
      <w:r>
        <w:rPr>
          <w:rFonts w:hint="eastAsia" w:ascii="仿宋" w:eastAsia="仿宋" w:cs="仿宋_GB2312"/>
          <w:color w:val="auto"/>
          <w:highlight w:val="none"/>
        </w:rPr>
        <w:t>（1）</w:t>
      </w:r>
      <w:r>
        <w:rPr>
          <w:rFonts w:hint="eastAsia" w:ascii="仿宋" w:eastAsia="仿宋" w:cs="仿宋_GB2312"/>
          <w:color w:val="auto"/>
          <w:highlight w:val="none"/>
          <w:lang w:val="zh-CN"/>
        </w:rPr>
        <w:t>评分对应表 ……………………………………………………</w:t>
      </w:r>
      <w:r>
        <w:rPr>
          <w:rFonts w:hint="eastAsia" w:ascii="仿宋" w:eastAsia="仿宋" w:cs="仿宋_GB2312"/>
          <w:color w:val="auto"/>
          <w:highlight w:val="none"/>
        </w:rPr>
        <w:t>（页码）</w:t>
      </w:r>
    </w:p>
    <w:p>
      <w:pPr>
        <w:pStyle w:val="215"/>
        <w:spacing w:line="360" w:lineRule="auto"/>
        <w:rPr>
          <w:rFonts w:hint="eastAsia" w:ascii="仿宋" w:eastAsia="仿宋" w:cs="仿宋_GB2312"/>
          <w:color w:val="auto"/>
          <w:highlight w:val="none"/>
        </w:rPr>
      </w:pPr>
      <w:bookmarkStart w:id="76" w:name="OLE_LINK6"/>
      <w:bookmarkStart w:id="77" w:name="OLE_LINK7"/>
      <w:bookmarkStart w:id="78" w:name="OLE_LINK5"/>
      <w:r>
        <w:rPr>
          <w:rFonts w:hint="eastAsia" w:ascii="仿宋" w:eastAsia="仿宋" w:cs="仿宋_GB2312"/>
          <w:color w:val="auto"/>
          <w:highlight w:val="none"/>
        </w:rPr>
        <w:t>（2）技术响应表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6"/>
      <w:bookmarkEnd w:id="77"/>
    </w:p>
    <w:bookmarkEnd w:id="78"/>
    <w:p>
      <w:pPr>
        <w:pStyle w:val="215"/>
        <w:spacing w:line="360" w:lineRule="auto"/>
        <w:rPr>
          <w:rFonts w:hint="eastAsia" w:ascii="仿宋" w:eastAsia="仿宋" w:cs="仿宋_GB2312"/>
          <w:color w:val="auto"/>
          <w:highlight w:val="none"/>
        </w:rPr>
      </w:pPr>
      <w:r>
        <w:rPr>
          <w:rFonts w:hint="eastAsia" w:ascii="仿宋" w:eastAsia="仿宋" w:cs="仿宋_GB2312"/>
          <w:color w:val="auto"/>
          <w:highlight w:val="none"/>
        </w:rPr>
        <w:t>（3）商务响应表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215"/>
        <w:spacing w:line="360" w:lineRule="auto"/>
        <w:rPr>
          <w:rFonts w:hint="eastAsia" w:ascii="仿宋" w:eastAsia="仿宋" w:cs="仿宋_GB2312"/>
          <w:color w:val="auto"/>
          <w:highlight w:val="none"/>
        </w:rPr>
      </w:pPr>
      <w:r>
        <w:rPr>
          <w:rFonts w:hint="eastAsia" w:ascii="仿宋" w:eastAsia="仿宋" w:cs="仿宋_GB2312"/>
          <w:color w:val="auto"/>
          <w:highlight w:val="none"/>
        </w:rPr>
        <w:t>（4）项目组织实施方案……………………………………………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215"/>
        <w:spacing w:line="360" w:lineRule="auto"/>
        <w:rPr>
          <w:rFonts w:hint="eastAsia" w:ascii="仿宋" w:eastAsia="仿宋" w:cs="仿宋_GB2312"/>
          <w:color w:val="auto"/>
          <w:highlight w:val="none"/>
        </w:rPr>
      </w:pPr>
      <w:r>
        <w:rPr>
          <w:rFonts w:hint="eastAsia" w:ascii="仿宋" w:eastAsia="仿宋" w:cs="仿宋_GB2312"/>
          <w:color w:val="auto"/>
          <w:highlight w:val="none"/>
        </w:rPr>
        <w:t>（5）项目负责人情况表………………………………………………（页码）</w:t>
      </w:r>
    </w:p>
    <w:p>
      <w:pPr>
        <w:pStyle w:val="215"/>
        <w:spacing w:line="360" w:lineRule="auto"/>
        <w:rPr>
          <w:rFonts w:hint="eastAsia" w:ascii="仿宋" w:eastAsia="仿宋" w:cs="仿宋_GB2312"/>
          <w:color w:val="auto"/>
          <w:highlight w:val="none"/>
        </w:rPr>
      </w:pPr>
      <w:r>
        <w:rPr>
          <w:rFonts w:hint="eastAsia" w:ascii="仿宋" w:eastAsia="仿宋" w:cs="仿宋_GB2312"/>
          <w:color w:val="auto"/>
          <w:highlight w:val="none"/>
        </w:rPr>
        <w:t>（6）项目组人员名单…………………………………………………（页码）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（7）售后服务方案（如有）…………………………………………（页码）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pPr>
        <w:pStyle w:val="2"/>
        <w:rPr>
          <w:rFonts w:ascii="宋体" w:hAnsi="宋体"/>
          <w:color w:val="auto"/>
          <w:kern w:val="2"/>
          <w:sz w:val="28"/>
          <w:szCs w:val="24"/>
          <w:highlight w:val="none"/>
        </w:rPr>
      </w:pPr>
    </w:p>
    <w:p>
      <w:pPr>
        <w:autoSpaceDE/>
        <w:autoSpaceDN/>
        <w:adjustRightInd/>
        <w:spacing w:line="600" w:lineRule="exact"/>
        <w:jc w:val="right"/>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pStyle w:val="2"/>
        <w:rPr>
          <w:rFonts w:ascii="宋体" w:hAnsi="宋体"/>
          <w:color w:val="auto"/>
          <w:kern w:val="2"/>
          <w:sz w:val="28"/>
          <w:szCs w:val="24"/>
          <w:highlight w:val="none"/>
        </w:rPr>
      </w:pPr>
    </w:p>
    <w:p>
      <w:pPr>
        <w:spacing w:line="360" w:lineRule="auto"/>
        <w:jc w:val="center"/>
        <w:rPr>
          <w:rFonts w:ascii="仿宋" w:hAnsi="仿宋" w:eastAsia="仿宋"/>
          <w:color w:val="auto"/>
          <w:spacing w:val="6"/>
          <w:sz w:val="32"/>
          <w:szCs w:val="32"/>
          <w:highlight w:val="none"/>
        </w:rPr>
      </w:pPr>
      <w:r>
        <w:rPr>
          <w:rFonts w:hint="eastAsia" w:ascii="仿宋" w:hAnsi="仿宋" w:eastAsia="仿宋"/>
          <w:b/>
          <w:bCs/>
          <w:color w:val="auto"/>
          <w:spacing w:val="6"/>
          <w:sz w:val="32"/>
          <w:szCs w:val="32"/>
          <w:highlight w:val="none"/>
        </w:rPr>
        <w:t>一、评分对应表</w:t>
      </w:r>
    </w:p>
    <w:p>
      <w:pPr>
        <w:pStyle w:val="13"/>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 xml:space="preserve"> </w:t>
      </w:r>
    </w:p>
    <w:tbl>
      <w:tblPr>
        <w:tblStyle w:val="4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bl>
    <w:p>
      <w:pPr>
        <w:snapToGrid w:val="0"/>
        <w:spacing w:before="120"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r>
        <w:rPr>
          <w:rFonts w:ascii="仿宋" w:hAnsi="仿宋" w:eastAsia="仿宋" w:cs="仿宋_GB2312"/>
          <w:b/>
          <w:color w:val="auto"/>
          <w:sz w:val="24"/>
          <w:highlight w:val="none"/>
        </w:rPr>
        <w:t xml:space="preserve"> </w:t>
      </w:r>
    </w:p>
    <w:p>
      <w:pPr>
        <w:snapToGrid w:val="0"/>
        <w:spacing w:before="120" w:beforeLines="50"/>
        <w:rPr>
          <w:rFonts w:ascii="仿宋" w:hAnsi="仿宋" w:eastAsia="仿宋"/>
          <w:color w:val="auto"/>
          <w:sz w:val="30"/>
          <w:szCs w:val="30"/>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b/>
          <w:bCs/>
          <w:color w:val="auto"/>
          <w:spacing w:val="6"/>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b/>
          <w:bCs/>
          <w:color w:val="auto"/>
          <w:spacing w:val="6"/>
          <w:sz w:val="32"/>
          <w:szCs w:val="32"/>
          <w:highlight w:val="none"/>
        </w:rPr>
        <w:t>二、技术响应表</w:t>
      </w:r>
    </w:p>
    <w:p>
      <w:pPr>
        <w:rPr>
          <w:rFonts w:ascii="Arial" w:hAnsi="Arial" w:eastAsia="黑体" w:cs="Arial"/>
          <w:snapToGrid w:val="0"/>
          <w:color w:val="auto"/>
          <w:kern w:val="0"/>
          <w:szCs w:val="21"/>
          <w:highlight w:val="none"/>
        </w:rPr>
      </w:pPr>
    </w:p>
    <w:tbl>
      <w:tblPr>
        <w:tblStyle w:val="4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79" w:name="_Toc64369800"/>
            <w:r>
              <w:rPr>
                <w:rFonts w:hint="eastAsia" w:ascii="仿宋" w:hAnsi="仿宋" w:eastAsia="仿宋"/>
                <w:color w:val="auto"/>
                <w:sz w:val="24"/>
                <w:highlight w:val="none"/>
              </w:rPr>
              <w:t>序号</w:t>
            </w:r>
            <w:bookmarkEnd w:id="7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80" w:name="_Toc64369801"/>
            <w:bookmarkStart w:id="81" w:name="_Toc64369802"/>
            <w:r>
              <w:rPr>
                <w:rFonts w:hint="eastAsia" w:ascii="仿宋" w:hAnsi="仿宋" w:eastAsia="仿宋"/>
                <w:color w:val="auto"/>
                <w:sz w:val="24"/>
                <w:highlight w:val="none"/>
              </w:rPr>
              <w:t>采购文件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80"/>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投标文件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81"/>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82" w:name="_Toc64369803"/>
            <w:r>
              <w:rPr>
                <w:rFonts w:hint="eastAsia" w:ascii="仿宋" w:hAnsi="仿宋" w:eastAsia="仿宋"/>
                <w:color w:val="auto"/>
                <w:sz w:val="24"/>
                <w:highlight w:val="none"/>
              </w:rPr>
              <w:t>偏离</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8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83" w:name="_Toc64369804"/>
            <w:r>
              <w:rPr>
                <w:rFonts w:hint="eastAsia" w:ascii="仿宋" w:hAnsi="仿宋" w:eastAsia="仿宋"/>
                <w:color w:val="auto"/>
                <w:sz w:val="24"/>
                <w:highlight w:val="none"/>
              </w:rPr>
              <w:t>1</w:t>
            </w:r>
            <w:bookmarkEnd w:id="83"/>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84" w:name="_Toc64369814"/>
            <w:r>
              <w:rPr>
                <w:rFonts w:hint="eastAsia" w:ascii="仿宋" w:hAnsi="仿宋" w:eastAsia="仿宋"/>
                <w:color w:val="auto"/>
                <w:sz w:val="24"/>
                <w:highlight w:val="none"/>
              </w:rPr>
              <w:t>…</w:t>
            </w:r>
            <w:bookmarkEnd w:id="84"/>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bl>
    <w:p>
      <w:pPr>
        <w:snapToGrid w:val="0"/>
        <w:spacing w:before="120" w:beforeLines="5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pPr>
        <w:snapToGrid w:val="0"/>
        <w:spacing w:before="50" w:after="120" w:afterLines="50"/>
        <w:jc w:val="center"/>
        <w:rPr>
          <w:rFonts w:hint="eastAsia" w:ascii="仿宋" w:eastAsia="仿宋"/>
          <w:b/>
          <w:bCs/>
          <w:color w:val="auto"/>
          <w:sz w:val="30"/>
          <w:szCs w:val="30"/>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rPr>
          <w:rFonts w:hint="eastAsia" w:ascii="仿宋" w:eastAsia="仿宋"/>
          <w:b/>
          <w:color w:val="auto"/>
          <w:spacing w:val="40"/>
          <w:kern w:val="0"/>
          <w:sz w:val="36"/>
          <w:szCs w:val="36"/>
          <w:highlight w:val="none"/>
        </w:rPr>
      </w:pPr>
    </w:p>
    <w:p>
      <w:pPr>
        <w:pStyle w:val="13"/>
        <w:snapToGrid w:val="0"/>
        <w:jc w:val="center"/>
        <w:rPr>
          <w:rFonts w:hint="eastAsia" w:ascii="仿宋" w:eastAsia="仿宋"/>
          <w:color w:val="auto"/>
          <w:spacing w:val="40"/>
          <w:kern w:val="0"/>
          <w:sz w:val="36"/>
          <w:szCs w:val="36"/>
          <w:highlight w:val="none"/>
          <w:lang w:val="en-US" w:eastAsia="zh-CN"/>
        </w:rPr>
      </w:pPr>
    </w:p>
    <w:p>
      <w:pPr>
        <w:jc w:val="center"/>
        <w:rPr>
          <w:rFonts w:hint="eastAsia"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Arial" w:hAnsi="Arial" w:eastAsia="黑体" w:cs="Arial"/>
          <w:snapToGrid w:val="0"/>
          <w:color w:val="auto"/>
          <w:kern w:val="0"/>
          <w:szCs w:val="21"/>
          <w:highlight w:val="none"/>
        </w:rPr>
        <w:t>三</w:t>
      </w:r>
      <w:r>
        <w:rPr>
          <w:rFonts w:hint="eastAsia" w:ascii="仿宋" w:hAnsi="仿宋" w:eastAsia="仿宋"/>
          <w:b/>
          <w:bCs/>
          <w:color w:val="auto"/>
          <w:spacing w:val="6"/>
          <w:sz w:val="32"/>
          <w:szCs w:val="32"/>
          <w:highlight w:val="none"/>
        </w:rPr>
        <w:t>、商务响应表</w:t>
      </w:r>
    </w:p>
    <w:p>
      <w:pPr>
        <w:rPr>
          <w:rFonts w:ascii="Arial" w:hAnsi="Arial" w:eastAsia="黑体" w:cs="Arial"/>
          <w:snapToGrid w:val="0"/>
          <w:color w:val="auto"/>
          <w:kern w:val="0"/>
          <w:szCs w:val="21"/>
          <w:highlight w:val="none"/>
        </w:rPr>
      </w:pPr>
    </w:p>
    <w:tbl>
      <w:tblPr>
        <w:tblStyle w:val="4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85" w:name="_Toc64369815"/>
            <w:r>
              <w:rPr>
                <w:rFonts w:hint="eastAsia" w:ascii="仿宋" w:hAnsi="仿宋" w:eastAsia="仿宋"/>
                <w:color w:val="auto"/>
                <w:sz w:val="24"/>
                <w:highlight w:val="none"/>
              </w:rPr>
              <w:t>类别</w:t>
            </w:r>
            <w:bookmarkEnd w:id="85"/>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86" w:name="_Toc64369816"/>
            <w:r>
              <w:rPr>
                <w:rFonts w:hint="eastAsia" w:ascii="仿宋" w:hAnsi="仿宋" w:eastAsia="仿宋"/>
                <w:color w:val="auto"/>
                <w:sz w:val="24"/>
                <w:highlight w:val="none"/>
              </w:rPr>
              <w:t>采购文件要求</w:t>
            </w:r>
            <w:bookmarkEnd w:id="86"/>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87" w:name="_Toc64369817"/>
            <w:r>
              <w:rPr>
                <w:rFonts w:hint="eastAsia" w:ascii="仿宋" w:hAnsi="仿宋" w:eastAsia="仿宋"/>
                <w:color w:val="auto"/>
                <w:sz w:val="24"/>
                <w:highlight w:val="none"/>
              </w:rPr>
              <w:t>投标文件响应</w:t>
            </w:r>
            <w:bookmarkEnd w:id="87"/>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88" w:name="_Toc64369818"/>
            <w:r>
              <w:rPr>
                <w:rFonts w:hint="eastAsia" w:ascii="仿宋" w:hAnsi="仿宋" w:eastAsia="仿宋"/>
                <w:color w:val="auto"/>
                <w:sz w:val="24"/>
                <w:highlight w:val="none"/>
              </w:rPr>
              <w:t>偏离情况</w:t>
            </w:r>
            <w:bookmarkEnd w:id="8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服务期</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服务地点</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售后服务</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技术培训（如有）</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89" w:name="_Toc64369823"/>
            <w:r>
              <w:rPr>
                <w:rFonts w:hint="eastAsia" w:ascii="仿宋" w:hAnsi="仿宋" w:eastAsia="仿宋"/>
                <w:color w:val="auto"/>
                <w:sz w:val="24"/>
                <w:highlight w:val="none"/>
              </w:rPr>
              <w:t>付款方式</w:t>
            </w:r>
            <w:bookmarkEnd w:id="89"/>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90" w:name="_Toc64369824"/>
            <w:r>
              <w:rPr>
                <w:rFonts w:hint="eastAsia" w:ascii="仿宋" w:hAnsi="仿宋" w:eastAsia="仿宋"/>
                <w:color w:val="auto"/>
                <w:sz w:val="24"/>
                <w:highlight w:val="none"/>
              </w:rPr>
              <w:t>…</w:t>
            </w:r>
            <w:bookmarkEnd w:id="90"/>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jc w:val="center"/>
              <w:outlineLvl w:val="0"/>
              <w:rPr>
                <w:rFonts w:ascii="仿宋" w:hAnsi="仿宋" w:eastAsia="仿宋" w:cs="Times New Roman"/>
                <w:snapToGrid/>
                <w:color w:val="auto"/>
                <w:sz w:val="24"/>
                <w:szCs w:val="24"/>
                <w:highlight w:val="none"/>
              </w:rPr>
            </w:pPr>
          </w:p>
        </w:tc>
      </w:tr>
    </w:tbl>
    <w:p>
      <w:pPr>
        <w:spacing w:line="360" w:lineRule="auto"/>
        <w:ind w:right="42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w:t>
      </w:r>
    </w:p>
    <w:p>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color w:val="auto"/>
          <w:sz w:val="24"/>
          <w:highlight w:val="none"/>
        </w:rPr>
      </w:pPr>
    </w:p>
    <w:p>
      <w:pPr>
        <w:autoSpaceDE w:val="0"/>
        <w:autoSpaceDN w:val="0"/>
        <w:spacing w:line="360" w:lineRule="auto"/>
        <w:rPr>
          <w:rFonts w:hint="eastAsia" w:ascii="仿宋" w:hAnsi="仿宋" w:eastAsia="仿宋" w:cs="仿宋_GB2312"/>
          <w:b/>
          <w:color w:val="auto"/>
          <w:kern w:val="0"/>
          <w:sz w:val="28"/>
          <w:szCs w:val="28"/>
          <w:highlight w:val="none"/>
        </w:rPr>
      </w:pPr>
    </w:p>
    <w:p>
      <w:pPr>
        <w:bidi w:val="0"/>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
          <w:b/>
          <w:bCs/>
          <w:snapToGrid w:val="0"/>
          <w:color w:val="auto"/>
          <w:kern w:val="0"/>
          <w:sz w:val="32"/>
          <w:szCs w:val="32"/>
          <w:highlight w:val="none"/>
        </w:rPr>
        <w:t>五、项目组织实施方案</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六、项目负责人情况表</w:t>
      </w:r>
    </w:p>
    <w:p>
      <w:pPr>
        <w:spacing w:line="360" w:lineRule="auto"/>
        <w:jc w:val="center"/>
        <w:rPr>
          <w:rFonts w:hint="eastAsia" w:ascii="仿宋" w:hAnsi="仿宋" w:eastAsia="仿宋" w:cs="仿宋_GB2312"/>
          <w:color w:val="auto"/>
          <w:sz w:val="24"/>
          <w:highlight w:val="none"/>
        </w:rPr>
      </w:pPr>
    </w:p>
    <w:tbl>
      <w:tblPr>
        <w:tblStyle w:val="46"/>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bl>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七、项目组人员名单</w:t>
      </w:r>
    </w:p>
    <w:p>
      <w:pPr>
        <w:spacing w:line="360" w:lineRule="auto"/>
        <w:rPr>
          <w:rFonts w:hint="eastAsia" w:ascii="仿宋" w:hAnsi="仿宋" w:eastAsia="仿宋" w:cs="仿宋_GB2312"/>
          <w:color w:val="auto"/>
          <w:sz w:val="24"/>
          <w:highlight w:val="none"/>
        </w:rPr>
      </w:pPr>
    </w:p>
    <w:tbl>
      <w:tblPr>
        <w:tblStyle w:val="46"/>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bl>
    <w:p>
      <w:pPr>
        <w:autoSpaceDE w:val="0"/>
        <w:autoSpaceDN w:val="0"/>
        <w:spacing w:line="360" w:lineRule="auto"/>
        <w:ind w:firstLine="4578" w:firstLineChars="1900"/>
        <w:rPr>
          <w:rFonts w:hint="eastAsia" w:ascii="仿宋" w:hAnsi="仿宋" w:eastAsia="仿宋" w:cs="仿宋_GB2312"/>
          <w:b/>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八、售后服务方案（如有）</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rPr>
          <w:rFonts w:hint="eastAsia" w:ascii="仿宋" w:hAnsi="仿宋" w:eastAsia="仿宋" w:cs="仿宋_GB2312"/>
          <w:color w:val="auto"/>
          <w:sz w:val="24"/>
          <w:highlight w:val="none"/>
        </w:rPr>
      </w:pPr>
    </w:p>
    <w:p>
      <w:pPr>
        <w:spacing w:line="360" w:lineRule="auto"/>
        <w:rPr>
          <w:rFonts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九、</w:t>
      </w:r>
      <w:r>
        <w:rPr>
          <w:rFonts w:hint="eastAsia" w:ascii="仿宋" w:hAnsi="仿宋" w:eastAsia="仿宋" w:cs="仿宋_GB2312"/>
          <w:b/>
          <w:color w:val="auto"/>
          <w:kern w:val="0"/>
          <w:sz w:val="32"/>
          <w:szCs w:val="32"/>
          <w:highlight w:val="none"/>
          <w:lang w:val="zh-CN"/>
        </w:rPr>
        <w:t>优惠条件及特殊承诺（如有）</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120"/>
        <w:rPr>
          <w:rFonts w:hint="eastAsia" w:ascii="仿宋" w:hAnsi="仿宋" w:eastAsia="仿宋" w:cs="仿宋_GB2312"/>
          <w:color w:val="auto"/>
          <w:kern w:val="0"/>
          <w:sz w:val="24"/>
          <w:highlight w:val="none"/>
        </w:rPr>
      </w:pPr>
    </w:p>
    <w:p>
      <w:pPr>
        <w:autoSpaceDE w:val="0"/>
        <w:autoSpaceDN w:val="0"/>
        <w:spacing w:line="360" w:lineRule="auto"/>
        <w:ind w:firstLine="120"/>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十、投标人认为需要的其他商务技术文件或说明</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hint="eastAsia" w:ascii="仿宋" w:hAnsi="仿宋" w:eastAsia="仿宋" w:cs="仿宋_GB2312"/>
          <w:color w:val="auto"/>
          <w:sz w:val="24"/>
          <w:highlight w:val="none"/>
        </w:rPr>
      </w:pPr>
    </w:p>
    <w:p>
      <w:pPr>
        <w:spacing w:line="360" w:lineRule="auto"/>
        <w:rPr>
          <w:rFonts w:hint="eastAsia" w:ascii="仿宋" w:hAnsi="仿宋" w:eastAsia="仿宋" w:cs="仿宋_GB2312"/>
          <w:b/>
          <w:bCs/>
          <w:color w:val="auto"/>
          <w:sz w:val="30"/>
          <w:szCs w:val="30"/>
          <w:highlight w:val="none"/>
        </w:rPr>
      </w:pPr>
    </w:p>
    <w:p>
      <w:pPr>
        <w:pStyle w:val="216"/>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16"/>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16"/>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16"/>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16"/>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16"/>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16"/>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
        <w:rPr>
          <w:rFonts w:ascii="宋体" w:hAnsi="宋体"/>
          <w:color w:val="auto"/>
          <w:kern w:val="2"/>
          <w:sz w:val="28"/>
          <w:szCs w:val="24"/>
          <w:highlight w:val="none"/>
        </w:rPr>
      </w:pPr>
    </w:p>
    <w:bookmarkEnd w:id="71"/>
    <w:bookmarkEnd w:id="72"/>
    <w:bookmarkEnd w:id="73"/>
    <w:bookmarkEnd w:id="74"/>
    <w:bookmarkEnd w:id="75"/>
    <w:p>
      <w:pPr>
        <w:ind w:firstLine="420" w:firstLineChars="200"/>
        <w:rPr>
          <w:rFonts w:ascii="宋体" w:hAnsi="宋体"/>
          <w:color w:val="auto"/>
          <w:highlight w:val="none"/>
        </w:rPr>
      </w:pPr>
    </w:p>
    <w:p>
      <w:pPr>
        <w:ind w:firstLine="420" w:firstLineChars="200"/>
        <w:rPr>
          <w:rFonts w:ascii="宋体" w:hAnsi="宋体"/>
          <w:color w:val="auto"/>
          <w:highlight w:val="none"/>
        </w:rPr>
      </w:pPr>
    </w:p>
    <w:p>
      <w:pPr>
        <w:ind w:firstLine="420" w:firstLineChars="200"/>
        <w:rPr>
          <w:rFonts w:ascii="宋体" w:hAnsi="宋体"/>
          <w:color w:val="auto"/>
          <w:highlight w:val="none"/>
        </w:rPr>
      </w:pPr>
    </w:p>
    <w:p>
      <w:pPr>
        <w:ind w:firstLine="420" w:firstLineChars="200"/>
        <w:rPr>
          <w:rFonts w:ascii="宋体" w:hAnsi="宋体"/>
          <w:color w:val="auto"/>
          <w:highlight w:val="none"/>
        </w:rPr>
      </w:pPr>
    </w:p>
    <w:p>
      <w:pPr>
        <w:ind w:firstLine="420" w:firstLineChars="200"/>
        <w:rPr>
          <w:rFonts w:ascii="宋体" w:hAnsi="宋体"/>
          <w:color w:val="auto"/>
          <w:highlight w:val="none"/>
        </w:rPr>
      </w:pPr>
    </w:p>
    <w:p>
      <w:pPr>
        <w:ind w:firstLine="420" w:firstLineChars="200"/>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ind w:firstLine="420" w:firstLineChars="200"/>
        <w:rPr>
          <w:rFonts w:ascii="宋体" w:hAnsi="宋体"/>
          <w:color w:val="auto"/>
          <w:highlight w:val="none"/>
        </w:rPr>
      </w:pPr>
    </w:p>
    <w:p>
      <w:pPr>
        <w:bidi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报价文件部分</w:t>
      </w:r>
    </w:p>
    <w:p>
      <w:pPr>
        <w:bidi w:val="0"/>
        <w:rPr>
          <w:rFonts w:hint="eastAsia"/>
          <w:color w:val="auto"/>
          <w:highlight w:val="none"/>
        </w:rPr>
      </w:pPr>
    </w:p>
    <w:p>
      <w:pPr>
        <w:bidi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（1）投标（开标）一览表……………………………………………………（页码）</w:t>
      </w: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bookmarkStart w:id="93" w:name="_GoBack"/>
      <w:bookmarkEnd w:id="93"/>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pStyle w:val="216"/>
        <w:keepNext w:val="0"/>
        <w:pageBreakBefore w:val="0"/>
        <w:tabs>
          <w:tab w:val="clear" w:pos="720"/>
        </w:tabs>
        <w:snapToGrid w:val="0"/>
        <w:ind w:firstLine="640"/>
        <w:outlineLvl w:val="9"/>
        <w:rPr>
          <w:rFonts w:ascii="仿宋" w:hAnsi="仿宋" w:eastAsia="仿宋" w:cs="仿宋_GB2312"/>
          <w:color w:val="auto"/>
          <w:kern w:val="2"/>
          <w:sz w:val="32"/>
          <w:szCs w:val="32"/>
          <w:highlight w:val="none"/>
        </w:rPr>
        <w:sectPr>
          <w:footerReference r:id="rId10" w:type="first"/>
          <w:footerReference r:id="rId8" w:type="default"/>
          <w:headerReference r:id="rId7" w:type="even"/>
          <w:footerReference r:id="rId9" w:type="even"/>
          <w:pgSz w:w="11906" w:h="16838"/>
          <w:pgMar w:top="1134" w:right="1134" w:bottom="1134" w:left="1418" w:header="567" w:footer="567" w:gutter="0"/>
          <w:cols w:space="720" w:num="1"/>
          <w:titlePg/>
          <w:docGrid w:linePitch="312" w:charSpace="0"/>
        </w:sectPr>
      </w:pPr>
    </w:p>
    <w:p>
      <w:pPr>
        <w:pStyle w:val="216"/>
        <w:keepNext w:val="0"/>
        <w:pageBreakBefore w:val="0"/>
        <w:tabs>
          <w:tab w:val="clear" w:pos="720"/>
        </w:tabs>
        <w:snapToGrid w:val="0"/>
        <w:ind w:firstLine="640"/>
        <w:outlineLvl w:val="9"/>
        <w:rPr>
          <w:rFonts w:hint="eastAsia" w:ascii="仿宋" w:hAnsi="仿宋" w:eastAsia="仿宋" w:cs="仿宋_GB2312"/>
          <w:color w:val="auto"/>
          <w:kern w:val="2"/>
          <w:sz w:val="32"/>
          <w:szCs w:val="32"/>
          <w:highlight w:val="none"/>
        </w:rPr>
      </w:pPr>
      <w:bookmarkStart w:id="91" w:name="_Toc11466"/>
      <w:r>
        <w:rPr>
          <w:rFonts w:hint="eastAsia" w:ascii="仿宋" w:hAnsi="仿宋" w:eastAsia="仿宋" w:cs="仿宋_GB2312"/>
          <w:color w:val="auto"/>
          <w:kern w:val="2"/>
          <w:sz w:val="32"/>
          <w:szCs w:val="32"/>
          <w:highlight w:val="none"/>
        </w:rPr>
        <w:t>一、投标(开标)一览表</w:t>
      </w:r>
      <w:bookmarkEnd w:id="91"/>
    </w:p>
    <w:p>
      <w:pPr>
        <w:snapToGrid w:val="0"/>
        <w:spacing w:line="360" w:lineRule="auto"/>
        <w:rPr>
          <w:rFonts w:hint="eastAsia" w:ascii="仿宋" w:eastAsia="仿宋" w:cs="仿宋_GB2312"/>
          <w:color w:val="auto"/>
          <w:kern w:val="0"/>
          <w:sz w:val="24"/>
          <w:highlight w:val="none"/>
          <w:lang w:val="zh-CN"/>
        </w:rPr>
      </w:pPr>
      <w:bookmarkStart w:id="92" w:name="_Toc86217005"/>
      <w:r>
        <w:rPr>
          <w:rFonts w:hint="eastAsia" w:ascii="仿宋" w:eastAsia="仿宋" w:cs="仿宋_GB2312"/>
          <w:color w:val="auto"/>
          <w:sz w:val="24"/>
          <w:highlight w:val="none"/>
        </w:rPr>
        <w:t>项目名称</w:t>
      </w:r>
      <w:r>
        <w:rPr>
          <w:rFonts w:hint="eastAsia" w:ascii="仿宋" w:eastAsia="仿宋" w:cs="仿宋_GB2312"/>
          <w:color w:val="auto"/>
          <w:kern w:val="0"/>
          <w:sz w:val="24"/>
          <w:highlight w:val="none"/>
          <w:lang w:val="zh-CN"/>
        </w:rPr>
        <w:t>：</w:t>
      </w:r>
    </w:p>
    <w:p>
      <w:pPr>
        <w:snapToGrid w:val="0"/>
        <w:spacing w:line="360" w:lineRule="auto"/>
        <w:rPr>
          <w:rFonts w:hint="eastAsia" w:ascii="仿宋" w:eastAsia="仿宋" w:cs="仿宋_GB2312"/>
          <w:color w:val="auto"/>
          <w:kern w:val="0"/>
          <w:sz w:val="24"/>
          <w:highlight w:val="none"/>
        </w:rPr>
      </w:pPr>
      <w:r>
        <w:rPr>
          <w:rFonts w:hint="eastAsia" w:ascii="仿宋" w:eastAsia="仿宋" w:cs="仿宋_GB2312"/>
          <w:color w:val="auto"/>
          <w:kern w:val="0"/>
          <w:sz w:val="24"/>
          <w:highlight w:val="none"/>
          <w:lang w:val="zh-CN"/>
        </w:rPr>
        <w:t>项目编号：                  标项：</w:t>
      </w:r>
    </w:p>
    <w:tbl>
      <w:tblPr>
        <w:tblStyle w:val="46"/>
        <w:tblW w:w="1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378"/>
        <w:gridCol w:w="4089"/>
        <w:gridCol w:w="1600"/>
        <w:gridCol w:w="1067"/>
        <w:gridCol w:w="2133"/>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91" w:type="dxa"/>
            <w:noWrap w:val="0"/>
            <w:vAlign w:val="center"/>
          </w:tcPr>
          <w:p>
            <w:pPr>
              <w:spacing w:line="360" w:lineRule="auto"/>
              <w:jc w:val="center"/>
              <w:rPr>
                <w:rFonts w:hint="eastAsia" w:ascii="仿宋" w:eastAsia="仿宋" w:cs="仿宋_GB2312"/>
                <w:b/>
                <w:color w:val="auto"/>
                <w:sz w:val="24"/>
                <w:highlight w:val="none"/>
              </w:rPr>
            </w:pPr>
            <w:r>
              <w:rPr>
                <w:rFonts w:hint="eastAsia" w:ascii="仿宋" w:eastAsia="仿宋"/>
                <w:b/>
                <w:color w:val="auto"/>
                <w:sz w:val="24"/>
                <w:highlight w:val="none"/>
              </w:rPr>
              <w:t>序号</w:t>
            </w:r>
          </w:p>
        </w:tc>
        <w:tc>
          <w:tcPr>
            <w:tcW w:w="3378" w:type="dxa"/>
            <w:noWrap w:val="0"/>
            <w:vAlign w:val="center"/>
          </w:tcPr>
          <w:p>
            <w:pPr>
              <w:spacing w:line="360" w:lineRule="auto"/>
              <w:jc w:val="center"/>
              <w:rPr>
                <w:rFonts w:hint="eastAsia" w:ascii="仿宋" w:eastAsia="仿宋"/>
                <w:b/>
                <w:color w:val="auto"/>
                <w:sz w:val="24"/>
                <w:highlight w:val="none"/>
              </w:rPr>
            </w:pPr>
            <w:r>
              <w:rPr>
                <w:rFonts w:hint="eastAsia" w:ascii="仿宋" w:eastAsia="仿宋"/>
                <w:b/>
                <w:color w:val="auto"/>
                <w:sz w:val="24"/>
                <w:highlight w:val="none"/>
              </w:rPr>
              <w:t>货物/服务内容</w:t>
            </w:r>
          </w:p>
        </w:tc>
        <w:tc>
          <w:tcPr>
            <w:tcW w:w="4089" w:type="dxa"/>
            <w:noWrap w:val="0"/>
            <w:vAlign w:val="center"/>
          </w:tcPr>
          <w:p>
            <w:pPr>
              <w:spacing w:line="360" w:lineRule="auto"/>
              <w:jc w:val="center"/>
              <w:rPr>
                <w:rFonts w:hint="default" w:ascii="仿宋" w:eastAsia="仿宋"/>
                <w:b/>
                <w:color w:val="auto"/>
                <w:sz w:val="24"/>
                <w:highlight w:val="none"/>
                <w:lang w:val="en-US" w:eastAsia="zh-CN"/>
              </w:rPr>
            </w:pPr>
            <w:r>
              <w:rPr>
                <w:rFonts w:hint="eastAsia" w:ascii="仿宋" w:eastAsia="仿宋"/>
                <w:b/>
                <w:color w:val="auto"/>
                <w:sz w:val="24"/>
                <w:highlight w:val="none"/>
                <w:lang w:val="en-US" w:eastAsia="zh-CN"/>
              </w:rPr>
              <w:t>规格/材质/要求</w:t>
            </w:r>
          </w:p>
        </w:tc>
        <w:tc>
          <w:tcPr>
            <w:tcW w:w="1600" w:type="dxa"/>
            <w:noWrap w:val="0"/>
            <w:vAlign w:val="center"/>
          </w:tcPr>
          <w:p>
            <w:pPr>
              <w:spacing w:line="360" w:lineRule="auto"/>
              <w:jc w:val="center"/>
              <w:rPr>
                <w:rFonts w:hint="eastAsia" w:ascii="仿宋" w:eastAsia="仿宋" w:cs="仿宋_GB2312"/>
                <w:b/>
                <w:color w:val="auto"/>
                <w:sz w:val="24"/>
                <w:highlight w:val="none"/>
              </w:rPr>
            </w:pPr>
            <w:r>
              <w:rPr>
                <w:rFonts w:hint="eastAsia" w:ascii="仿宋" w:eastAsia="仿宋"/>
                <w:b/>
                <w:color w:val="auto"/>
                <w:sz w:val="24"/>
                <w:highlight w:val="none"/>
              </w:rPr>
              <w:t>数量</w:t>
            </w:r>
          </w:p>
        </w:tc>
        <w:tc>
          <w:tcPr>
            <w:tcW w:w="1067" w:type="dxa"/>
            <w:noWrap w:val="0"/>
            <w:vAlign w:val="center"/>
          </w:tcPr>
          <w:p>
            <w:pPr>
              <w:spacing w:line="360" w:lineRule="auto"/>
              <w:jc w:val="center"/>
              <w:rPr>
                <w:rFonts w:hint="eastAsia" w:ascii="仿宋" w:eastAsia="仿宋" w:cs="仿宋_GB2312"/>
                <w:b/>
                <w:color w:val="auto"/>
                <w:sz w:val="24"/>
                <w:highlight w:val="none"/>
              </w:rPr>
            </w:pPr>
            <w:r>
              <w:rPr>
                <w:rFonts w:hint="eastAsia" w:ascii="仿宋" w:eastAsia="仿宋" w:cs="仿宋_GB2312"/>
                <w:b/>
                <w:color w:val="auto"/>
                <w:sz w:val="24"/>
                <w:highlight w:val="none"/>
              </w:rPr>
              <w:t>单位</w:t>
            </w:r>
          </w:p>
        </w:tc>
        <w:tc>
          <w:tcPr>
            <w:tcW w:w="2133" w:type="dxa"/>
            <w:noWrap w:val="0"/>
            <w:vAlign w:val="center"/>
          </w:tcPr>
          <w:p>
            <w:pPr>
              <w:spacing w:line="360" w:lineRule="auto"/>
              <w:jc w:val="center"/>
              <w:rPr>
                <w:rFonts w:hint="eastAsia" w:ascii="仿宋" w:eastAsia="仿宋" w:cs="仿宋_GB2312"/>
                <w:b/>
                <w:color w:val="auto"/>
                <w:sz w:val="24"/>
                <w:highlight w:val="none"/>
              </w:rPr>
            </w:pPr>
            <w:r>
              <w:rPr>
                <w:rFonts w:hint="eastAsia" w:ascii="仿宋" w:eastAsia="仿宋"/>
                <w:b/>
                <w:color w:val="auto"/>
                <w:sz w:val="24"/>
                <w:highlight w:val="none"/>
              </w:rPr>
              <w:t>单价（元）</w:t>
            </w:r>
          </w:p>
        </w:tc>
        <w:tc>
          <w:tcPr>
            <w:tcW w:w="1777" w:type="dxa"/>
            <w:noWrap w:val="0"/>
            <w:vAlign w:val="center"/>
          </w:tcPr>
          <w:p>
            <w:pPr>
              <w:spacing w:line="360" w:lineRule="auto"/>
              <w:jc w:val="center"/>
              <w:rPr>
                <w:rFonts w:hint="eastAsia" w:ascii="仿宋" w:eastAsia="仿宋"/>
                <w:b/>
                <w:color w:val="auto"/>
                <w:sz w:val="24"/>
                <w:highlight w:val="none"/>
              </w:rPr>
            </w:pPr>
            <w:r>
              <w:rPr>
                <w:rFonts w:hint="eastAsia" w:ascii="仿宋" w:eastAsia="仿宋"/>
                <w:b/>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1" w:type="dxa"/>
            <w:noWrap w:val="0"/>
            <w:vAlign w:val="center"/>
          </w:tcPr>
          <w:p>
            <w:pPr>
              <w:spacing w:line="360" w:lineRule="auto"/>
              <w:jc w:val="center"/>
              <w:rPr>
                <w:rFonts w:hint="eastAsia" w:ascii="仿宋" w:eastAsia="仿宋" w:cs="仿宋_GB2312"/>
                <w:color w:val="auto"/>
                <w:sz w:val="24"/>
                <w:highlight w:val="none"/>
              </w:rPr>
            </w:pPr>
            <w:r>
              <w:rPr>
                <w:rFonts w:hint="eastAsia" w:ascii="仿宋" w:eastAsia="仿宋"/>
                <w:b/>
                <w:color w:val="auto"/>
                <w:sz w:val="24"/>
                <w:highlight w:val="none"/>
              </w:rPr>
              <w:t>1</w:t>
            </w:r>
          </w:p>
        </w:tc>
        <w:tc>
          <w:tcPr>
            <w:tcW w:w="3378" w:type="dxa"/>
            <w:noWrap w:val="0"/>
            <w:vAlign w:val="center"/>
          </w:tcPr>
          <w:p>
            <w:pPr>
              <w:snapToGrid w:val="0"/>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宣传片拍摄及制作</w:t>
            </w:r>
          </w:p>
        </w:tc>
        <w:tc>
          <w:tcPr>
            <w:tcW w:w="4089" w:type="dxa"/>
            <w:noWrap w:val="0"/>
            <w:vAlign w:val="center"/>
          </w:tcPr>
          <w:p>
            <w:pPr>
              <w:snapToGrid w:val="0"/>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按采购需求要求执行</w:t>
            </w:r>
          </w:p>
        </w:tc>
        <w:tc>
          <w:tcPr>
            <w:tcW w:w="1600" w:type="dxa"/>
            <w:noWrap w:val="0"/>
            <w:vAlign w:val="center"/>
          </w:tcPr>
          <w:p>
            <w:pPr>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w:t>
            </w:r>
          </w:p>
        </w:tc>
        <w:tc>
          <w:tcPr>
            <w:tcW w:w="1067" w:type="dxa"/>
            <w:noWrap w:val="0"/>
            <w:vAlign w:val="center"/>
          </w:tcPr>
          <w:p>
            <w:pPr>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部</w:t>
            </w:r>
          </w:p>
        </w:tc>
        <w:tc>
          <w:tcPr>
            <w:tcW w:w="2133"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45000</w:t>
            </w:r>
          </w:p>
        </w:tc>
        <w:tc>
          <w:tcPr>
            <w:tcW w:w="1777"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noWrap w:val="0"/>
            <w:vAlign w:val="center"/>
          </w:tcPr>
          <w:p>
            <w:pPr>
              <w:spacing w:line="360" w:lineRule="auto"/>
              <w:jc w:val="center"/>
              <w:rPr>
                <w:rFonts w:hint="eastAsia" w:ascii="仿宋" w:eastAsia="仿宋"/>
                <w:b/>
                <w:color w:val="auto"/>
                <w:sz w:val="24"/>
                <w:highlight w:val="none"/>
              </w:rPr>
            </w:pPr>
            <w:r>
              <w:rPr>
                <w:rFonts w:hint="eastAsia" w:ascii="仿宋" w:eastAsia="仿宋"/>
                <w:b/>
                <w:color w:val="auto"/>
                <w:sz w:val="24"/>
                <w:highlight w:val="none"/>
              </w:rPr>
              <w:t>2</w:t>
            </w:r>
          </w:p>
        </w:tc>
        <w:tc>
          <w:tcPr>
            <w:tcW w:w="3378" w:type="dxa"/>
            <w:noWrap w:val="0"/>
            <w:vAlign w:val="center"/>
          </w:tcPr>
          <w:p>
            <w:pPr>
              <w:snapToGrid w:val="0"/>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宣传手册设计及制作</w:t>
            </w:r>
          </w:p>
        </w:tc>
        <w:tc>
          <w:tcPr>
            <w:tcW w:w="4089" w:type="dxa"/>
            <w:noWrap w:val="0"/>
            <w:vAlign w:val="center"/>
          </w:tcPr>
          <w:p>
            <w:pPr>
              <w:snapToGrid w:val="0"/>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按采购需求要求执行</w:t>
            </w:r>
          </w:p>
        </w:tc>
        <w:tc>
          <w:tcPr>
            <w:tcW w:w="1600"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10000</w:t>
            </w:r>
          </w:p>
        </w:tc>
        <w:tc>
          <w:tcPr>
            <w:tcW w:w="1067" w:type="dxa"/>
            <w:noWrap w:val="0"/>
            <w:vAlign w:val="center"/>
          </w:tcPr>
          <w:p>
            <w:pPr>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册</w:t>
            </w:r>
          </w:p>
        </w:tc>
        <w:tc>
          <w:tcPr>
            <w:tcW w:w="2133"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1.2</w:t>
            </w:r>
          </w:p>
        </w:tc>
        <w:tc>
          <w:tcPr>
            <w:tcW w:w="1777"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vMerge w:val="restart"/>
            <w:noWrap w:val="0"/>
            <w:vAlign w:val="center"/>
          </w:tcPr>
          <w:p>
            <w:pPr>
              <w:spacing w:line="360" w:lineRule="auto"/>
              <w:jc w:val="center"/>
              <w:rPr>
                <w:rFonts w:hint="eastAsia" w:ascii="仿宋" w:eastAsia="仿宋"/>
                <w:b/>
                <w:color w:val="auto"/>
                <w:sz w:val="24"/>
                <w:highlight w:val="none"/>
                <w:lang w:val="en-US" w:eastAsia="zh-CN"/>
              </w:rPr>
            </w:pPr>
            <w:r>
              <w:rPr>
                <w:rFonts w:hint="eastAsia" w:ascii="仿宋" w:eastAsia="仿宋"/>
                <w:b/>
                <w:color w:val="auto"/>
                <w:sz w:val="24"/>
                <w:highlight w:val="none"/>
                <w:lang w:val="en-US" w:eastAsia="zh-CN"/>
              </w:rPr>
              <w:t>3</w:t>
            </w:r>
          </w:p>
        </w:tc>
        <w:tc>
          <w:tcPr>
            <w:tcW w:w="3378" w:type="dxa"/>
            <w:vMerge w:val="restart"/>
            <w:noWrap w:val="0"/>
            <w:vAlign w:val="center"/>
          </w:tcPr>
          <w:p>
            <w:pPr>
              <w:snapToGrid w:val="0"/>
              <w:spacing w:line="360" w:lineRule="auto"/>
              <w:jc w:val="center"/>
              <w:rPr>
                <w:rFonts w:hint="default"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宣传物料</w:t>
            </w:r>
          </w:p>
        </w:tc>
        <w:tc>
          <w:tcPr>
            <w:tcW w:w="4089" w:type="dxa"/>
            <w:noWrap w:val="0"/>
            <w:vAlign w:val="center"/>
          </w:tcPr>
          <w:p>
            <w:pPr>
              <w:snapToGrid w:val="0"/>
              <w:spacing w:line="360" w:lineRule="auto"/>
              <w:jc w:val="center"/>
              <w:rPr>
                <w:rFonts w:hint="default"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10元档次物品，经采购人确认后选定</w:t>
            </w:r>
          </w:p>
        </w:tc>
        <w:tc>
          <w:tcPr>
            <w:tcW w:w="1600" w:type="dxa"/>
            <w:noWrap w:val="0"/>
            <w:vAlign w:val="center"/>
          </w:tcPr>
          <w:p>
            <w:pPr>
              <w:spacing w:line="360" w:lineRule="auto"/>
              <w:jc w:val="center"/>
              <w:rPr>
                <w:rFonts w:hint="eastAsia"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2500</w:t>
            </w:r>
          </w:p>
        </w:tc>
        <w:tc>
          <w:tcPr>
            <w:tcW w:w="1067" w:type="dxa"/>
            <w:noWrap w:val="0"/>
            <w:vAlign w:val="center"/>
          </w:tcPr>
          <w:p>
            <w:pPr>
              <w:spacing w:line="360" w:lineRule="auto"/>
              <w:jc w:val="center"/>
              <w:rPr>
                <w:rFonts w:hint="default" w:ascii="仿宋" w:eastAsia="仿宋" w:cs="仿宋_GB2312"/>
                <w:color w:val="auto"/>
                <w:kern w:val="2"/>
                <w:sz w:val="24"/>
                <w:szCs w:val="24"/>
                <w:highlight w:val="none"/>
                <w:lang w:val="en-US" w:eastAsia="zh-CN" w:bidi="ar-SA"/>
              </w:rPr>
            </w:pPr>
            <w:r>
              <w:rPr>
                <w:rFonts w:hint="eastAsia" w:ascii="仿宋" w:eastAsia="仿宋" w:cs="仿宋_GB2312"/>
                <w:color w:val="auto"/>
                <w:sz w:val="24"/>
                <w:highlight w:val="none"/>
                <w:lang w:val="en-US" w:eastAsia="zh-CN"/>
              </w:rPr>
              <w:t>份</w:t>
            </w:r>
          </w:p>
        </w:tc>
        <w:tc>
          <w:tcPr>
            <w:tcW w:w="2133"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10元</w:t>
            </w:r>
          </w:p>
        </w:tc>
        <w:tc>
          <w:tcPr>
            <w:tcW w:w="177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vMerge w:val="continue"/>
            <w:noWrap w:val="0"/>
            <w:vAlign w:val="center"/>
          </w:tcPr>
          <w:p>
            <w:pPr>
              <w:spacing w:line="360" w:lineRule="auto"/>
              <w:jc w:val="center"/>
              <w:rPr>
                <w:rFonts w:hint="eastAsia" w:ascii="仿宋" w:eastAsia="仿宋"/>
                <w:b/>
                <w:color w:val="auto"/>
                <w:sz w:val="24"/>
                <w:highlight w:val="none"/>
                <w:lang w:val="en-US" w:eastAsia="zh-CN"/>
              </w:rPr>
            </w:pPr>
            <w:r>
              <w:rPr>
                <w:rFonts w:hint="eastAsia" w:ascii="仿宋" w:eastAsia="仿宋"/>
                <w:b/>
                <w:color w:val="auto"/>
                <w:sz w:val="24"/>
                <w:highlight w:val="none"/>
                <w:lang w:val="en-US" w:eastAsia="zh-CN"/>
              </w:rPr>
              <w:t>，</w:t>
            </w:r>
          </w:p>
        </w:tc>
        <w:tc>
          <w:tcPr>
            <w:tcW w:w="3378" w:type="dxa"/>
            <w:vMerge w:val="continue"/>
            <w:noWrap w:val="0"/>
            <w:vAlign w:val="center"/>
          </w:tcPr>
          <w:p>
            <w:pPr>
              <w:snapToGrid w:val="0"/>
              <w:spacing w:line="360" w:lineRule="auto"/>
              <w:jc w:val="center"/>
              <w:rPr>
                <w:rFonts w:hint="default" w:ascii="仿宋" w:hAnsi="Calibri" w:eastAsia="仿宋" w:cs="仿宋_GB2312"/>
                <w:color w:val="auto"/>
                <w:kern w:val="2"/>
                <w:sz w:val="24"/>
                <w:szCs w:val="24"/>
                <w:highlight w:val="none"/>
                <w:lang w:val="en-US" w:eastAsia="zh-CN" w:bidi="ar-SA"/>
              </w:rPr>
            </w:pPr>
          </w:p>
        </w:tc>
        <w:tc>
          <w:tcPr>
            <w:tcW w:w="4089" w:type="dxa"/>
            <w:noWrap w:val="0"/>
            <w:vAlign w:val="center"/>
          </w:tcPr>
          <w:p>
            <w:pPr>
              <w:snapToGrid w:val="0"/>
              <w:spacing w:line="360" w:lineRule="auto"/>
              <w:jc w:val="center"/>
              <w:rPr>
                <w:rFonts w:hint="default"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7元档次物品，经采购人确认后选定</w:t>
            </w:r>
          </w:p>
        </w:tc>
        <w:tc>
          <w:tcPr>
            <w:tcW w:w="1600" w:type="dxa"/>
            <w:noWrap w:val="0"/>
            <w:vAlign w:val="center"/>
          </w:tcPr>
          <w:p>
            <w:pPr>
              <w:spacing w:line="360" w:lineRule="auto"/>
              <w:jc w:val="center"/>
              <w:rPr>
                <w:rFonts w:hint="eastAsia"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5000</w:t>
            </w:r>
          </w:p>
        </w:tc>
        <w:tc>
          <w:tcPr>
            <w:tcW w:w="1067" w:type="dxa"/>
            <w:noWrap w:val="0"/>
            <w:vAlign w:val="center"/>
          </w:tcPr>
          <w:p>
            <w:pPr>
              <w:spacing w:line="360" w:lineRule="auto"/>
              <w:jc w:val="center"/>
              <w:rPr>
                <w:rFonts w:hint="default" w:ascii="仿宋" w:eastAsia="仿宋" w:cs="仿宋_GB2312"/>
                <w:color w:val="auto"/>
                <w:kern w:val="2"/>
                <w:sz w:val="24"/>
                <w:szCs w:val="24"/>
                <w:highlight w:val="none"/>
                <w:lang w:val="en-US" w:eastAsia="zh-CN" w:bidi="ar-SA"/>
              </w:rPr>
            </w:pPr>
            <w:r>
              <w:rPr>
                <w:rFonts w:hint="eastAsia" w:ascii="仿宋" w:eastAsia="仿宋" w:cs="仿宋_GB2312"/>
                <w:color w:val="auto"/>
                <w:sz w:val="24"/>
                <w:highlight w:val="none"/>
                <w:lang w:val="en-US" w:eastAsia="zh-CN"/>
              </w:rPr>
              <w:t>份</w:t>
            </w:r>
          </w:p>
        </w:tc>
        <w:tc>
          <w:tcPr>
            <w:tcW w:w="2133"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7元</w:t>
            </w:r>
          </w:p>
        </w:tc>
        <w:tc>
          <w:tcPr>
            <w:tcW w:w="177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91" w:type="dxa"/>
            <w:vMerge w:val="continue"/>
            <w:noWrap w:val="0"/>
            <w:vAlign w:val="center"/>
          </w:tcPr>
          <w:p>
            <w:pPr>
              <w:spacing w:line="360" w:lineRule="auto"/>
              <w:jc w:val="center"/>
              <w:rPr>
                <w:rFonts w:hint="eastAsia" w:ascii="仿宋" w:eastAsia="仿宋"/>
                <w:b/>
                <w:color w:val="auto"/>
                <w:sz w:val="24"/>
                <w:highlight w:val="none"/>
                <w:lang w:val="en-US" w:eastAsia="zh-CN"/>
              </w:rPr>
            </w:pPr>
          </w:p>
        </w:tc>
        <w:tc>
          <w:tcPr>
            <w:tcW w:w="3378" w:type="dxa"/>
            <w:vMerge w:val="continue"/>
            <w:noWrap w:val="0"/>
            <w:vAlign w:val="center"/>
          </w:tcPr>
          <w:p>
            <w:pPr>
              <w:snapToGrid w:val="0"/>
              <w:spacing w:line="360" w:lineRule="auto"/>
              <w:jc w:val="center"/>
              <w:rPr>
                <w:rFonts w:hint="eastAsia" w:ascii="仿宋" w:hAnsi="Calibri" w:eastAsia="仿宋" w:cs="仿宋_GB2312"/>
                <w:color w:val="auto"/>
                <w:kern w:val="2"/>
                <w:sz w:val="24"/>
                <w:szCs w:val="24"/>
                <w:highlight w:val="none"/>
                <w:lang w:val="en-US" w:eastAsia="zh-CN" w:bidi="ar-SA"/>
              </w:rPr>
            </w:pPr>
          </w:p>
        </w:tc>
        <w:tc>
          <w:tcPr>
            <w:tcW w:w="4089" w:type="dxa"/>
            <w:noWrap w:val="0"/>
            <w:vAlign w:val="center"/>
          </w:tcPr>
          <w:p>
            <w:pPr>
              <w:snapToGrid w:val="0"/>
              <w:spacing w:line="360" w:lineRule="auto"/>
              <w:jc w:val="center"/>
              <w:rPr>
                <w:rFonts w:hint="default"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5元档次物品，经采购人确认后选定</w:t>
            </w:r>
          </w:p>
        </w:tc>
        <w:tc>
          <w:tcPr>
            <w:tcW w:w="1600" w:type="dxa"/>
            <w:noWrap w:val="0"/>
            <w:vAlign w:val="center"/>
          </w:tcPr>
          <w:p>
            <w:pPr>
              <w:spacing w:line="360" w:lineRule="auto"/>
              <w:jc w:val="center"/>
              <w:rPr>
                <w:rFonts w:hint="eastAsia"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2500</w:t>
            </w:r>
          </w:p>
        </w:tc>
        <w:tc>
          <w:tcPr>
            <w:tcW w:w="1067" w:type="dxa"/>
            <w:noWrap w:val="0"/>
            <w:vAlign w:val="center"/>
          </w:tcPr>
          <w:p>
            <w:pPr>
              <w:spacing w:line="360" w:lineRule="auto"/>
              <w:jc w:val="center"/>
              <w:rPr>
                <w:rFonts w:hint="eastAsia" w:ascii="仿宋" w:eastAsia="仿宋" w:cs="仿宋_GB2312"/>
                <w:color w:val="auto"/>
                <w:kern w:val="2"/>
                <w:sz w:val="24"/>
                <w:szCs w:val="24"/>
                <w:highlight w:val="none"/>
                <w:lang w:val="en-US" w:eastAsia="zh-CN" w:bidi="ar-SA"/>
              </w:rPr>
            </w:pPr>
            <w:r>
              <w:rPr>
                <w:rFonts w:hint="eastAsia" w:ascii="仿宋" w:eastAsia="仿宋" w:cs="仿宋_GB2312"/>
                <w:color w:val="auto"/>
                <w:sz w:val="24"/>
                <w:highlight w:val="none"/>
                <w:lang w:val="en-US" w:eastAsia="zh-CN"/>
              </w:rPr>
              <w:t>份</w:t>
            </w:r>
          </w:p>
        </w:tc>
        <w:tc>
          <w:tcPr>
            <w:tcW w:w="2133"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5元</w:t>
            </w:r>
          </w:p>
        </w:tc>
        <w:tc>
          <w:tcPr>
            <w:tcW w:w="1777" w:type="dxa"/>
            <w:noWrap w:val="0"/>
            <w:vAlign w:val="center"/>
          </w:tcPr>
          <w:p>
            <w:pPr>
              <w:spacing w:line="360" w:lineRule="auto"/>
              <w:jc w:val="center"/>
              <w:rPr>
                <w:rFonts w:hint="default" w:ascii="仿宋" w:hAnsi="仿宋" w:eastAsia="仿宋" w:cs="仿宋"/>
                <w:color w:val="auto"/>
                <w:sz w:val="24"/>
                <w:highlight w:val="none"/>
                <w:lang w:val="en-US"/>
              </w:rPr>
            </w:pPr>
            <w:r>
              <w:rPr>
                <w:rFonts w:hint="eastAsia" w:ascii="仿宋" w:hAnsi="仿宋" w:eastAsia="仿宋" w:cs="仿宋"/>
                <w:i w:val="0"/>
                <w:iCs w:val="0"/>
                <w:color w:val="auto"/>
                <w:kern w:val="0"/>
                <w:sz w:val="22"/>
                <w:szCs w:val="22"/>
                <w:highlight w:val="none"/>
                <w:u w:val="none"/>
                <w:lang w:val="en-US" w:eastAsia="zh-CN"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vMerge w:val="continue"/>
            <w:noWrap w:val="0"/>
            <w:vAlign w:val="center"/>
          </w:tcPr>
          <w:p>
            <w:pPr>
              <w:spacing w:line="360" w:lineRule="auto"/>
              <w:jc w:val="center"/>
              <w:rPr>
                <w:rFonts w:hint="eastAsia" w:ascii="仿宋" w:eastAsia="仿宋"/>
                <w:b/>
                <w:color w:val="auto"/>
                <w:sz w:val="24"/>
                <w:highlight w:val="none"/>
                <w:lang w:val="en-US" w:eastAsia="zh-CN"/>
              </w:rPr>
            </w:pPr>
          </w:p>
        </w:tc>
        <w:tc>
          <w:tcPr>
            <w:tcW w:w="3378" w:type="dxa"/>
            <w:vMerge w:val="continue"/>
            <w:noWrap w:val="0"/>
            <w:vAlign w:val="center"/>
          </w:tcPr>
          <w:p>
            <w:pPr>
              <w:snapToGrid w:val="0"/>
              <w:spacing w:line="360" w:lineRule="auto"/>
              <w:jc w:val="center"/>
              <w:rPr>
                <w:rFonts w:hint="default" w:ascii="仿宋" w:hAnsi="Calibri" w:eastAsia="仿宋" w:cs="仿宋_GB2312"/>
                <w:color w:val="auto"/>
                <w:kern w:val="2"/>
                <w:sz w:val="24"/>
                <w:szCs w:val="24"/>
                <w:highlight w:val="none"/>
                <w:lang w:val="en-US" w:eastAsia="zh-CN" w:bidi="ar-SA"/>
              </w:rPr>
            </w:pPr>
          </w:p>
        </w:tc>
        <w:tc>
          <w:tcPr>
            <w:tcW w:w="4089" w:type="dxa"/>
            <w:noWrap w:val="0"/>
            <w:vAlign w:val="center"/>
          </w:tcPr>
          <w:p>
            <w:pPr>
              <w:snapToGrid w:val="0"/>
              <w:spacing w:line="360" w:lineRule="auto"/>
              <w:jc w:val="cente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2元档次物品，</w:t>
            </w:r>
            <w:r>
              <w:rPr>
                <w:rFonts w:hint="eastAsia" w:ascii="仿宋" w:hAnsi="Calibri" w:eastAsia="仿宋" w:cs="仿宋_GB2312"/>
                <w:color w:val="auto"/>
                <w:sz w:val="24"/>
                <w:highlight w:val="none"/>
                <w:lang w:val="en-US" w:eastAsia="zh-CN"/>
              </w:rPr>
              <w:t>经采购人确认后选定</w:t>
            </w:r>
          </w:p>
        </w:tc>
        <w:tc>
          <w:tcPr>
            <w:tcW w:w="1600" w:type="dxa"/>
            <w:noWrap w:val="0"/>
            <w:vAlign w:val="center"/>
          </w:tcPr>
          <w:p>
            <w:pPr>
              <w:spacing w:line="360" w:lineRule="auto"/>
              <w:jc w:val="center"/>
              <w:rPr>
                <w:rFonts w:hint="eastAsia" w:ascii="仿宋" w:hAnsi="Calibri" w:eastAsia="仿宋" w:cs="仿宋_GB2312"/>
                <w:color w:val="auto"/>
                <w:kern w:val="2"/>
                <w:sz w:val="24"/>
                <w:szCs w:val="24"/>
                <w:highlight w:val="none"/>
                <w:lang w:val="en-US" w:eastAsia="zh-CN" w:bidi="ar-SA"/>
              </w:rPr>
            </w:pPr>
            <w:r>
              <w:rPr>
                <w:rFonts w:hint="eastAsia" w:ascii="仿宋" w:hAnsi="Calibri" w:eastAsia="仿宋" w:cs="仿宋_GB2312"/>
                <w:color w:val="auto"/>
                <w:sz w:val="24"/>
                <w:highlight w:val="none"/>
                <w:lang w:val="en-US" w:eastAsia="zh-CN"/>
              </w:rPr>
              <w:t>5000</w:t>
            </w:r>
          </w:p>
        </w:tc>
        <w:tc>
          <w:tcPr>
            <w:tcW w:w="1067" w:type="dxa"/>
            <w:noWrap w:val="0"/>
            <w:vAlign w:val="center"/>
          </w:tcPr>
          <w:p>
            <w:pPr>
              <w:spacing w:line="360" w:lineRule="auto"/>
              <w:jc w:val="center"/>
              <w:rPr>
                <w:rFonts w:hint="default" w:ascii="仿宋" w:eastAsia="仿宋" w:cs="仿宋_GB2312"/>
                <w:color w:val="auto"/>
                <w:kern w:val="2"/>
                <w:sz w:val="24"/>
                <w:szCs w:val="24"/>
                <w:highlight w:val="none"/>
                <w:lang w:val="en-US" w:eastAsia="zh-CN" w:bidi="ar-SA"/>
              </w:rPr>
            </w:pPr>
            <w:r>
              <w:rPr>
                <w:rFonts w:hint="eastAsia" w:ascii="仿宋" w:eastAsia="仿宋" w:cs="仿宋_GB2312"/>
                <w:color w:val="auto"/>
                <w:kern w:val="2"/>
                <w:sz w:val="24"/>
                <w:szCs w:val="24"/>
                <w:highlight w:val="none"/>
                <w:lang w:val="en-US" w:eastAsia="zh-CN" w:bidi="ar-SA"/>
              </w:rPr>
              <w:t>份</w:t>
            </w:r>
          </w:p>
        </w:tc>
        <w:tc>
          <w:tcPr>
            <w:tcW w:w="2133"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2元</w:t>
            </w:r>
          </w:p>
        </w:tc>
        <w:tc>
          <w:tcPr>
            <w:tcW w:w="177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vMerge w:val="continue"/>
            <w:noWrap w:val="0"/>
            <w:vAlign w:val="center"/>
          </w:tcPr>
          <w:p>
            <w:pPr>
              <w:spacing w:line="360" w:lineRule="auto"/>
              <w:jc w:val="center"/>
              <w:rPr>
                <w:rFonts w:hint="eastAsia" w:ascii="仿宋" w:eastAsia="仿宋"/>
                <w:b/>
                <w:color w:val="auto"/>
                <w:sz w:val="24"/>
                <w:highlight w:val="none"/>
                <w:lang w:val="en-US" w:eastAsia="zh-CN"/>
              </w:rPr>
            </w:pPr>
          </w:p>
        </w:tc>
        <w:tc>
          <w:tcPr>
            <w:tcW w:w="3378" w:type="dxa"/>
            <w:noWrap w:val="0"/>
            <w:vAlign w:val="center"/>
          </w:tcPr>
          <w:p>
            <w:pPr>
              <w:snapToGrid w:val="0"/>
              <w:spacing w:line="360" w:lineRule="auto"/>
              <w:jc w:val="center"/>
              <w:rPr>
                <w:rFonts w:hint="eastAsia"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易拉宝</w:t>
            </w:r>
          </w:p>
        </w:tc>
        <w:tc>
          <w:tcPr>
            <w:tcW w:w="4089"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100*200cm门型展架易拉宝含设计</w:t>
            </w:r>
          </w:p>
        </w:tc>
        <w:tc>
          <w:tcPr>
            <w:tcW w:w="1600"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50</w:t>
            </w:r>
          </w:p>
        </w:tc>
        <w:tc>
          <w:tcPr>
            <w:tcW w:w="1067"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个</w:t>
            </w:r>
          </w:p>
        </w:tc>
        <w:tc>
          <w:tcPr>
            <w:tcW w:w="2133"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100</w:t>
            </w:r>
          </w:p>
        </w:tc>
        <w:tc>
          <w:tcPr>
            <w:tcW w:w="1777" w:type="dxa"/>
            <w:noWrap w:val="0"/>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vMerge w:val="continue"/>
            <w:noWrap w:val="0"/>
            <w:vAlign w:val="center"/>
          </w:tcPr>
          <w:p>
            <w:pPr>
              <w:spacing w:line="360" w:lineRule="auto"/>
              <w:jc w:val="center"/>
              <w:rPr>
                <w:rFonts w:hint="eastAsia" w:ascii="仿宋" w:eastAsia="仿宋"/>
                <w:b/>
                <w:color w:val="auto"/>
                <w:sz w:val="24"/>
                <w:highlight w:val="none"/>
                <w:lang w:val="en-US" w:eastAsia="zh-CN"/>
              </w:rPr>
            </w:pPr>
          </w:p>
        </w:tc>
        <w:tc>
          <w:tcPr>
            <w:tcW w:w="3378"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活动背景桁架</w:t>
            </w:r>
          </w:p>
        </w:tc>
        <w:tc>
          <w:tcPr>
            <w:tcW w:w="4089" w:type="dxa"/>
            <w:noWrap w:val="0"/>
            <w:vAlign w:val="center"/>
          </w:tcPr>
          <w:p>
            <w:pPr>
              <w:snapToGrid w:val="0"/>
              <w:spacing w:line="360" w:lineRule="auto"/>
              <w:jc w:val="center"/>
              <w:rPr>
                <w:rFonts w:hint="eastAsia" w:ascii="仿宋" w:hAnsi="Calibri" w:eastAsia="仿宋" w:cs="仿宋_GB2312"/>
                <w:color w:val="auto"/>
                <w:sz w:val="24"/>
                <w:highlight w:val="none"/>
                <w:lang w:val="en-US" w:eastAsia="zh-CN"/>
              </w:rPr>
            </w:pPr>
            <w:r>
              <w:rPr>
                <w:rFonts w:hint="eastAsia" w:ascii="仿宋" w:eastAsia="仿宋" w:cs="仿宋_GB2312"/>
                <w:color w:val="auto"/>
                <w:sz w:val="24"/>
                <w:highlight w:val="none"/>
                <w:lang w:val="en-US" w:eastAsia="zh-CN"/>
              </w:rPr>
              <w:t>按采购需求要求执行，钢铁型桁架</w:t>
            </w:r>
          </w:p>
        </w:tc>
        <w:tc>
          <w:tcPr>
            <w:tcW w:w="1600"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100</w:t>
            </w:r>
          </w:p>
        </w:tc>
        <w:tc>
          <w:tcPr>
            <w:tcW w:w="1067"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米</w:t>
            </w:r>
          </w:p>
        </w:tc>
        <w:tc>
          <w:tcPr>
            <w:tcW w:w="2133"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35</w:t>
            </w:r>
          </w:p>
        </w:tc>
        <w:tc>
          <w:tcPr>
            <w:tcW w:w="1777" w:type="dxa"/>
            <w:noWrap w:val="0"/>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vMerge w:val="continue"/>
            <w:noWrap w:val="0"/>
            <w:vAlign w:val="center"/>
          </w:tcPr>
          <w:p>
            <w:pPr>
              <w:spacing w:line="360" w:lineRule="auto"/>
              <w:jc w:val="center"/>
              <w:rPr>
                <w:rFonts w:hint="eastAsia" w:ascii="仿宋" w:eastAsia="仿宋"/>
                <w:b/>
                <w:color w:val="auto"/>
                <w:sz w:val="24"/>
                <w:highlight w:val="none"/>
                <w:lang w:val="en-US" w:eastAsia="zh-CN"/>
              </w:rPr>
            </w:pPr>
          </w:p>
        </w:tc>
        <w:tc>
          <w:tcPr>
            <w:tcW w:w="3378" w:type="dxa"/>
            <w:noWrap w:val="0"/>
            <w:vAlign w:val="center"/>
          </w:tcPr>
          <w:p>
            <w:pPr>
              <w:snapToGrid w:val="0"/>
              <w:spacing w:line="360" w:lineRule="auto"/>
              <w:jc w:val="center"/>
              <w:rPr>
                <w:rFonts w:hint="eastAsia"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喷绘布</w:t>
            </w:r>
          </w:p>
        </w:tc>
        <w:tc>
          <w:tcPr>
            <w:tcW w:w="4089" w:type="dxa"/>
            <w:noWrap w:val="0"/>
            <w:vAlign w:val="center"/>
          </w:tcPr>
          <w:p>
            <w:pPr>
              <w:snapToGrid w:val="0"/>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按需执行，喷绘包含设计</w:t>
            </w:r>
          </w:p>
        </w:tc>
        <w:tc>
          <w:tcPr>
            <w:tcW w:w="1600"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800</w:t>
            </w:r>
          </w:p>
        </w:tc>
        <w:tc>
          <w:tcPr>
            <w:tcW w:w="1067"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平米</w:t>
            </w:r>
          </w:p>
        </w:tc>
        <w:tc>
          <w:tcPr>
            <w:tcW w:w="2133" w:type="dxa"/>
            <w:noWrap w:val="0"/>
            <w:vAlign w:val="center"/>
          </w:tcPr>
          <w:p>
            <w:pPr>
              <w:snapToGrid w:val="0"/>
              <w:spacing w:line="360" w:lineRule="auto"/>
              <w:jc w:val="center"/>
              <w:rPr>
                <w:rFonts w:hint="default" w:ascii="仿宋" w:hAnsi="Calibri" w:eastAsia="仿宋" w:cs="仿宋_GB2312"/>
                <w:color w:val="auto"/>
                <w:sz w:val="24"/>
                <w:highlight w:val="none"/>
                <w:lang w:val="en-US" w:eastAsia="zh-CN"/>
              </w:rPr>
            </w:pPr>
            <w:r>
              <w:rPr>
                <w:rFonts w:hint="eastAsia" w:ascii="仿宋" w:hAnsi="Calibri" w:eastAsia="仿宋" w:cs="仿宋_GB2312"/>
                <w:color w:val="auto"/>
                <w:sz w:val="24"/>
                <w:highlight w:val="none"/>
                <w:lang w:val="en-US" w:eastAsia="zh-CN"/>
              </w:rPr>
              <w:t>10</w:t>
            </w:r>
          </w:p>
        </w:tc>
        <w:tc>
          <w:tcPr>
            <w:tcW w:w="1777" w:type="dxa"/>
            <w:noWrap w:val="0"/>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noWrap w:val="0"/>
            <w:vAlign w:val="center"/>
          </w:tcPr>
          <w:p>
            <w:pPr>
              <w:spacing w:line="360" w:lineRule="auto"/>
              <w:jc w:val="center"/>
              <w:rPr>
                <w:rFonts w:hint="default" w:ascii="仿宋" w:eastAsia="仿宋"/>
                <w:b/>
                <w:color w:val="auto"/>
                <w:sz w:val="24"/>
                <w:highlight w:val="none"/>
                <w:lang w:val="en-US" w:eastAsia="zh-CN"/>
              </w:rPr>
            </w:pPr>
            <w:r>
              <w:rPr>
                <w:rFonts w:hint="eastAsia" w:ascii="仿宋" w:eastAsia="仿宋"/>
                <w:b/>
                <w:color w:val="auto"/>
                <w:sz w:val="24"/>
                <w:highlight w:val="none"/>
                <w:lang w:val="en-US" w:eastAsia="zh-CN"/>
              </w:rPr>
              <w:t>4</w:t>
            </w:r>
          </w:p>
        </w:tc>
        <w:tc>
          <w:tcPr>
            <w:tcW w:w="3378" w:type="dxa"/>
            <w:noWrap w:val="0"/>
            <w:vAlign w:val="center"/>
          </w:tcPr>
          <w:p>
            <w:pPr>
              <w:snapToGrid w:val="0"/>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线下推广活动</w:t>
            </w:r>
          </w:p>
        </w:tc>
        <w:tc>
          <w:tcPr>
            <w:tcW w:w="4089" w:type="dxa"/>
            <w:noWrap w:val="0"/>
            <w:vAlign w:val="center"/>
          </w:tcPr>
          <w:p>
            <w:pPr>
              <w:snapToGrid w:val="0"/>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按采购需求要求执行</w:t>
            </w:r>
          </w:p>
        </w:tc>
        <w:tc>
          <w:tcPr>
            <w:tcW w:w="1600"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9</w:t>
            </w:r>
          </w:p>
        </w:tc>
        <w:tc>
          <w:tcPr>
            <w:tcW w:w="1067"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场</w:t>
            </w:r>
          </w:p>
        </w:tc>
        <w:tc>
          <w:tcPr>
            <w:tcW w:w="2133"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5000</w:t>
            </w:r>
          </w:p>
        </w:tc>
        <w:tc>
          <w:tcPr>
            <w:tcW w:w="1777"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1" w:type="dxa"/>
            <w:noWrap w:val="0"/>
            <w:vAlign w:val="center"/>
          </w:tcPr>
          <w:p>
            <w:pPr>
              <w:spacing w:line="360" w:lineRule="auto"/>
              <w:jc w:val="center"/>
              <w:rPr>
                <w:rFonts w:hint="default" w:ascii="仿宋" w:eastAsia="仿宋"/>
                <w:b/>
                <w:color w:val="auto"/>
                <w:sz w:val="24"/>
                <w:highlight w:val="none"/>
                <w:lang w:val="en-US" w:eastAsia="zh-CN"/>
              </w:rPr>
            </w:pPr>
            <w:r>
              <w:rPr>
                <w:rFonts w:hint="eastAsia" w:ascii="仿宋" w:eastAsia="仿宋"/>
                <w:b/>
                <w:color w:val="auto"/>
                <w:sz w:val="24"/>
                <w:highlight w:val="none"/>
                <w:lang w:val="en-US" w:eastAsia="zh-CN"/>
              </w:rPr>
              <w:t>5</w:t>
            </w:r>
          </w:p>
        </w:tc>
        <w:tc>
          <w:tcPr>
            <w:tcW w:w="3378" w:type="dxa"/>
            <w:noWrap w:val="0"/>
            <w:vAlign w:val="center"/>
          </w:tcPr>
          <w:p>
            <w:pPr>
              <w:snapToGrid w:val="0"/>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线下宣传活动</w:t>
            </w:r>
          </w:p>
        </w:tc>
        <w:tc>
          <w:tcPr>
            <w:tcW w:w="4089" w:type="dxa"/>
            <w:noWrap w:val="0"/>
            <w:vAlign w:val="center"/>
          </w:tcPr>
          <w:p>
            <w:pPr>
              <w:snapToGrid w:val="0"/>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按采购需求要求执行</w:t>
            </w:r>
          </w:p>
        </w:tc>
        <w:tc>
          <w:tcPr>
            <w:tcW w:w="1600"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3</w:t>
            </w:r>
          </w:p>
        </w:tc>
        <w:tc>
          <w:tcPr>
            <w:tcW w:w="1067" w:type="dxa"/>
            <w:noWrap w:val="0"/>
            <w:vAlign w:val="center"/>
          </w:tcPr>
          <w:p>
            <w:pPr>
              <w:spacing w:line="360" w:lineRule="auto"/>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场</w:t>
            </w:r>
          </w:p>
        </w:tc>
        <w:tc>
          <w:tcPr>
            <w:tcW w:w="2133"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15000</w:t>
            </w:r>
          </w:p>
        </w:tc>
        <w:tc>
          <w:tcPr>
            <w:tcW w:w="1777"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58" w:type="dxa"/>
            <w:gridSpan w:val="6"/>
            <w:noWrap w:val="0"/>
            <w:vAlign w:val="center"/>
          </w:tcPr>
          <w:p>
            <w:pPr>
              <w:spacing w:line="360" w:lineRule="auto"/>
              <w:jc w:val="center"/>
              <w:rPr>
                <w:rFonts w:hint="default" w:ascii="仿宋" w:eastAsia="仿宋"/>
                <w:b/>
                <w:color w:val="auto"/>
                <w:kern w:val="2"/>
                <w:sz w:val="24"/>
                <w:szCs w:val="24"/>
                <w:highlight w:val="none"/>
                <w:lang w:val="en-US" w:eastAsia="zh-CN" w:bidi="ar-SA"/>
              </w:rPr>
            </w:pPr>
            <w:r>
              <w:rPr>
                <w:rFonts w:hint="eastAsia" w:ascii="仿宋" w:eastAsia="仿宋"/>
                <w:b/>
                <w:color w:val="auto"/>
                <w:kern w:val="2"/>
                <w:sz w:val="24"/>
                <w:szCs w:val="24"/>
                <w:highlight w:val="none"/>
                <w:lang w:val="en-US" w:eastAsia="zh-CN" w:bidi="ar-SA"/>
              </w:rPr>
              <w:t>合计</w:t>
            </w:r>
          </w:p>
        </w:tc>
        <w:tc>
          <w:tcPr>
            <w:tcW w:w="1777" w:type="dxa"/>
            <w:noWrap w:val="0"/>
            <w:vAlign w:val="center"/>
          </w:tcPr>
          <w:p>
            <w:pPr>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246000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869" w:type="dxa"/>
            <w:gridSpan w:val="2"/>
            <w:noWrap w:val="0"/>
            <w:vAlign w:val="center"/>
          </w:tcPr>
          <w:p>
            <w:pPr>
              <w:snapToGrid w:val="0"/>
              <w:spacing w:line="360" w:lineRule="auto"/>
              <w:jc w:val="center"/>
              <w:rPr>
                <w:rFonts w:ascii="仿宋" w:eastAsia="仿宋" w:cs="仿宋_GB2312"/>
                <w:color w:val="auto"/>
                <w:sz w:val="24"/>
                <w:highlight w:val="none"/>
              </w:rPr>
            </w:pPr>
            <w:r>
              <w:rPr>
                <w:rFonts w:hint="eastAsia" w:ascii="仿宋" w:eastAsia="仿宋" w:cs="仿宋_GB2312"/>
                <w:color w:val="auto"/>
                <w:sz w:val="24"/>
                <w:highlight w:val="none"/>
                <w:lang w:val="en-US" w:eastAsia="zh-CN"/>
              </w:rPr>
              <w:t>投标比率</w:t>
            </w:r>
            <w:r>
              <w:rPr>
                <w:rFonts w:hint="eastAsia" w:ascii="仿宋" w:eastAsia="仿宋" w:cs="仿宋_GB2312"/>
                <w:color w:val="auto"/>
                <w:sz w:val="24"/>
                <w:highlight w:val="none"/>
              </w:rPr>
              <w:t>（</w:t>
            </w:r>
            <w:r>
              <w:rPr>
                <w:rFonts w:hint="eastAsia" w:ascii="仿宋" w:eastAsia="仿宋" w:cs="仿宋_GB2312"/>
                <w:color w:val="auto"/>
                <w:sz w:val="24"/>
                <w:highlight w:val="none"/>
                <w:lang w:val="en-US" w:eastAsia="zh-CN"/>
              </w:rPr>
              <w:t>%</w:t>
            </w:r>
            <w:r>
              <w:rPr>
                <w:rFonts w:hint="eastAsia" w:ascii="仿宋" w:eastAsia="仿宋" w:cs="仿宋_GB2312"/>
                <w:color w:val="auto"/>
                <w:sz w:val="24"/>
                <w:highlight w:val="none"/>
              </w:rPr>
              <w:t>）：</w:t>
            </w:r>
          </w:p>
        </w:tc>
        <w:tc>
          <w:tcPr>
            <w:tcW w:w="10666" w:type="dxa"/>
            <w:gridSpan w:val="5"/>
            <w:noWrap w:val="0"/>
            <w:vAlign w:val="center"/>
          </w:tcPr>
          <w:p>
            <w:pPr>
              <w:spacing w:line="360" w:lineRule="auto"/>
              <w:jc w:val="center"/>
              <w:rPr>
                <w:rFonts w:hint="default" w:ascii="仿宋" w:eastAsia="仿宋" w:cs="仿宋_GB2312"/>
                <w:color w:val="auto"/>
                <w:sz w:val="24"/>
                <w:highlight w:val="none"/>
                <w:u w:val="single"/>
                <w:lang w:val="en-US" w:eastAsia="zh-CN"/>
              </w:rPr>
            </w:pPr>
            <w:r>
              <w:rPr>
                <w:rFonts w:hint="eastAsia" w:ascii="仿宋" w:eastAsia="仿宋" w:cs="仿宋_GB2312"/>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869" w:type="dxa"/>
            <w:gridSpan w:val="2"/>
            <w:noWrap w:val="0"/>
            <w:vAlign w:val="center"/>
          </w:tcPr>
          <w:p>
            <w:pPr>
              <w:snapToGrid w:val="0"/>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投标总价（元）</w:t>
            </w:r>
            <w:r>
              <w:rPr>
                <w:rFonts w:hint="eastAsia" w:ascii="仿宋" w:eastAsia="仿宋" w:cs="仿宋_GB2312"/>
                <w:color w:val="auto"/>
                <w:sz w:val="24"/>
                <w:highlight w:val="none"/>
              </w:rPr>
              <w:t>：</w:t>
            </w:r>
          </w:p>
        </w:tc>
        <w:tc>
          <w:tcPr>
            <w:tcW w:w="10666" w:type="dxa"/>
            <w:gridSpan w:val="5"/>
            <w:noWrap w:val="0"/>
            <w:vAlign w:val="center"/>
          </w:tcPr>
          <w:p>
            <w:pPr>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u w:val="single"/>
                <w:lang w:val="en-US" w:eastAsia="zh-CN"/>
              </w:rPr>
              <w:t xml:space="preserve">           </w:t>
            </w:r>
            <w:r>
              <w:rPr>
                <w:rFonts w:hint="eastAsia" w:ascii="仿宋" w:eastAsia="仿宋" w:cs="仿宋_GB2312"/>
                <w:color w:val="auto"/>
                <w:sz w:val="24"/>
                <w:highlight w:val="none"/>
              </w:rPr>
              <w:t>（</w:t>
            </w:r>
            <w:r>
              <w:rPr>
                <w:rFonts w:hint="eastAsia" w:ascii="仿宋" w:eastAsia="仿宋" w:cs="仿宋_GB2312"/>
                <w:color w:val="auto"/>
                <w:sz w:val="24"/>
                <w:highlight w:val="none"/>
                <w:lang w:eastAsia="zh-CN"/>
              </w:rPr>
              <w:t>小</w:t>
            </w:r>
            <w:r>
              <w:rPr>
                <w:rFonts w:hint="eastAsia" w:ascii="仿宋" w:eastAsia="仿宋" w:cs="仿宋_GB2312"/>
                <w:color w:val="auto"/>
                <w:sz w:val="24"/>
                <w:highlight w:val="none"/>
              </w:rPr>
              <w:t>写</w:t>
            </w:r>
            <w:r>
              <w:rPr>
                <w:rFonts w:hint="eastAsia" w:ascii="仿宋" w:eastAsia="仿宋" w:cs="仿宋_GB2312"/>
                <w:color w:val="auto"/>
                <w:sz w:val="24"/>
                <w:highlight w:val="none"/>
                <w:lang w:eastAsia="zh-CN"/>
              </w:rPr>
              <w:t>金额</w:t>
            </w:r>
            <w:r>
              <w:rPr>
                <w:rFonts w:hint="eastAsia" w:ascii="仿宋" w:eastAsia="仿宋" w:cs="仿宋_GB2312"/>
                <w:color w:val="auto"/>
                <w:sz w:val="24"/>
                <w:highlight w:val="none"/>
              </w:rPr>
              <w:t>）</w:t>
            </w:r>
            <w:r>
              <w:rPr>
                <w:rFonts w:hint="eastAsia" w:ascii="仿宋" w:eastAsia="仿宋" w:cs="仿宋_GB2312"/>
                <w:color w:val="auto"/>
                <w:sz w:val="24"/>
                <w:highlight w:val="none"/>
                <w:u w:val="single"/>
                <w:lang w:val="en-US" w:eastAsia="zh-CN"/>
              </w:rPr>
              <w:t xml:space="preserve">           </w:t>
            </w:r>
            <w:r>
              <w:rPr>
                <w:rFonts w:hint="eastAsia" w:ascii="仿宋" w:eastAsia="仿宋" w:cs="仿宋_GB2312"/>
                <w:color w:val="auto"/>
                <w:sz w:val="24"/>
                <w:highlight w:val="none"/>
              </w:rPr>
              <w:t>（大写</w:t>
            </w:r>
            <w:r>
              <w:rPr>
                <w:rFonts w:hint="eastAsia" w:ascii="仿宋" w:eastAsia="仿宋" w:cs="仿宋_GB2312"/>
                <w:color w:val="auto"/>
                <w:sz w:val="24"/>
                <w:highlight w:val="none"/>
                <w:lang w:eastAsia="zh-CN"/>
              </w:rPr>
              <w:t>金额</w:t>
            </w:r>
            <w:r>
              <w:rPr>
                <w:rFonts w:hint="eastAsia" w:ascii="仿宋" w:eastAsia="仿宋" w:cs="仿宋_GB2312"/>
                <w:color w:val="auto"/>
                <w:sz w:val="24"/>
                <w:highlight w:val="none"/>
              </w:rPr>
              <w:t>）</w:t>
            </w:r>
          </w:p>
        </w:tc>
      </w:tr>
    </w:tbl>
    <w:p>
      <w:pPr>
        <w:snapToGrid w:val="0"/>
        <w:spacing w:line="360" w:lineRule="auto"/>
        <w:ind w:left="480"/>
        <w:rPr>
          <w:rFonts w:hint="eastAsia" w:ascii="仿宋" w:eastAsia="仿宋" w:cs="仿宋_GB2312"/>
          <w:b/>
          <w:color w:val="auto"/>
          <w:kern w:val="0"/>
          <w:sz w:val="24"/>
          <w:highlight w:val="none"/>
        </w:rPr>
      </w:pPr>
      <w:r>
        <w:rPr>
          <w:rFonts w:hint="eastAsia" w:ascii="仿宋" w:eastAsia="仿宋" w:cs="仿宋_GB2312"/>
          <w:b/>
          <w:color w:val="auto"/>
          <w:kern w:val="0"/>
          <w:sz w:val="24"/>
          <w:highlight w:val="none"/>
          <w:lang w:val="zh-CN"/>
        </w:rPr>
        <w:t>注：</w:t>
      </w:r>
      <w:r>
        <w:rPr>
          <w:rFonts w:hint="eastAsia" w:ascii="仿宋" w:eastAsia="仿宋" w:cs="仿宋_GB2312"/>
          <w:b/>
          <w:color w:val="auto"/>
          <w:kern w:val="0"/>
          <w:sz w:val="24"/>
          <w:highlight w:val="none"/>
        </w:rPr>
        <w:t>1、</w:t>
      </w:r>
      <w:r>
        <w:rPr>
          <w:rFonts w:hint="eastAsia" w:ascii="仿宋" w:hAnsi="仿宋" w:eastAsia="仿宋" w:cs="仿宋"/>
          <w:b/>
          <w:bCs/>
          <w:color w:val="auto"/>
          <w:sz w:val="24"/>
          <w:highlight w:val="none"/>
        </w:rPr>
        <w:t>期望比率为</w:t>
      </w:r>
      <w:r>
        <w:rPr>
          <w:rFonts w:hint="eastAsia" w:ascii="仿宋" w:hAnsi="仿宋" w:eastAsia="仿宋" w:cs="仿宋"/>
          <w:b/>
          <w:bCs/>
          <w:color w:val="auto"/>
          <w:sz w:val="24"/>
          <w:highlight w:val="none"/>
          <w:lang w:val="en-US" w:eastAsia="zh-CN"/>
        </w:rPr>
        <w:t>89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99</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lang w:eastAsia="zh-CN"/>
        </w:rPr>
        <w:t>，</w:t>
      </w:r>
      <w:r>
        <w:rPr>
          <w:rFonts w:hint="eastAsia" w:ascii="仿宋" w:eastAsia="仿宋" w:cs="仿宋_GB2312"/>
          <w:b/>
          <w:color w:val="auto"/>
          <w:kern w:val="0"/>
          <w:sz w:val="24"/>
          <w:highlight w:val="none"/>
          <w:lang w:eastAsia="zh-CN"/>
        </w:rPr>
        <w:t>投标单位无需填报单价，仅需填报</w:t>
      </w:r>
      <w:r>
        <w:rPr>
          <w:rFonts w:hint="eastAsia" w:ascii="仿宋" w:eastAsia="仿宋" w:cs="仿宋_GB2312"/>
          <w:b/>
          <w:color w:val="auto"/>
          <w:kern w:val="0"/>
          <w:sz w:val="24"/>
          <w:highlight w:val="none"/>
          <w:lang w:val="en-US" w:eastAsia="zh-CN"/>
        </w:rPr>
        <w:t>投标比率</w:t>
      </w:r>
      <w:r>
        <w:rPr>
          <w:rFonts w:hint="eastAsia" w:ascii="仿宋" w:eastAsia="仿宋" w:cs="仿宋_GB2312"/>
          <w:b/>
          <w:color w:val="auto"/>
          <w:kern w:val="0"/>
          <w:sz w:val="24"/>
          <w:highlight w:val="none"/>
          <w:lang w:eastAsia="zh-CN"/>
        </w:rPr>
        <w:t>及投标总价，投标总价与</w:t>
      </w:r>
      <w:r>
        <w:rPr>
          <w:rFonts w:hint="eastAsia" w:ascii="仿宋" w:eastAsia="仿宋" w:cs="仿宋_GB2312"/>
          <w:b/>
          <w:color w:val="auto"/>
          <w:kern w:val="0"/>
          <w:sz w:val="24"/>
          <w:highlight w:val="none"/>
          <w:lang w:val="en-US" w:eastAsia="zh-CN"/>
        </w:rPr>
        <w:t>投标比率</w:t>
      </w:r>
      <w:r>
        <w:rPr>
          <w:rFonts w:hint="eastAsia" w:ascii="仿宋" w:eastAsia="仿宋" w:cs="仿宋_GB2312"/>
          <w:b/>
          <w:color w:val="auto"/>
          <w:kern w:val="0"/>
          <w:sz w:val="24"/>
          <w:highlight w:val="none"/>
          <w:lang w:eastAsia="zh-CN"/>
        </w:rPr>
        <w:t>不一致时按</w:t>
      </w:r>
      <w:r>
        <w:rPr>
          <w:rFonts w:hint="eastAsia" w:ascii="仿宋" w:eastAsia="仿宋" w:cs="仿宋_GB2312"/>
          <w:b/>
          <w:color w:val="auto"/>
          <w:kern w:val="0"/>
          <w:sz w:val="24"/>
          <w:highlight w:val="none"/>
          <w:lang w:val="en-US" w:eastAsia="zh-CN"/>
        </w:rPr>
        <w:t>投标比率</w:t>
      </w:r>
      <w:r>
        <w:rPr>
          <w:rFonts w:hint="eastAsia" w:ascii="仿宋" w:eastAsia="仿宋" w:cs="仿宋_GB2312"/>
          <w:b/>
          <w:color w:val="auto"/>
          <w:kern w:val="0"/>
          <w:sz w:val="24"/>
          <w:highlight w:val="none"/>
          <w:lang w:eastAsia="zh-CN"/>
        </w:rPr>
        <w:t>为准修正投标总价。</w:t>
      </w:r>
      <w:r>
        <w:rPr>
          <w:rFonts w:hint="eastAsia" w:ascii="仿宋" w:eastAsia="仿宋" w:cs="仿宋_GB2312"/>
          <w:b/>
          <w:color w:val="auto"/>
          <w:kern w:val="0"/>
          <w:sz w:val="24"/>
          <w:highlight w:val="none"/>
          <w:lang w:val="en-US" w:eastAsia="zh-CN"/>
        </w:rPr>
        <w:t>实际结算单价=单价*中标比率，数量按实计取，</w:t>
      </w:r>
      <w:r>
        <w:rPr>
          <w:rFonts w:hint="eastAsia" w:ascii="仿宋" w:eastAsia="仿宋" w:cs="仿宋_GB2312"/>
          <w:b/>
          <w:i w:val="0"/>
          <w:iCs w:val="0"/>
          <w:color w:val="auto"/>
          <w:kern w:val="0"/>
          <w:sz w:val="24"/>
          <w:highlight w:val="none"/>
          <w:lang w:val="en-US" w:eastAsia="zh-CN"/>
        </w:rPr>
        <w:t>保留2位</w:t>
      </w:r>
      <w:r>
        <w:rPr>
          <w:rFonts w:hint="eastAsia" w:ascii="仿宋" w:eastAsia="仿宋" w:cs="仿宋_GB2312"/>
          <w:b/>
          <w:color w:val="auto"/>
          <w:kern w:val="0"/>
          <w:sz w:val="24"/>
          <w:highlight w:val="none"/>
          <w:lang w:val="en-US" w:eastAsia="zh-CN"/>
        </w:rPr>
        <w:t>小数</w:t>
      </w:r>
      <w:r>
        <w:rPr>
          <w:rFonts w:hint="eastAsia" w:ascii="仿宋" w:eastAsia="仿宋" w:cs="仿宋_GB2312"/>
          <w:b/>
          <w:color w:val="auto"/>
          <w:kern w:val="0"/>
          <w:sz w:val="24"/>
          <w:highlight w:val="none"/>
        </w:rPr>
        <w:t>。</w:t>
      </w:r>
    </w:p>
    <w:p>
      <w:pPr>
        <w:pStyle w:val="18"/>
        <w:rPr>
          <w:rFonts w:hint="default" w:eastAsia="仿宋"/>
          <w:color w:val="auto"/>
          <w:highlight w:val="none"/>
          <w:lang w:val="en-US" w:eastAsia="zh-CN"/>
        </w:rPr>
      </w:pPr>
      <w:r>
        <w:rPr>
          <w:rFonts w:hint="eastAsia" w:ascii="仿宋" w:eastAsia="仿宋" w:cs="仿宋_GB2312"/>
          <w:b/>
          <w:color w:val="auto"/>
          <w:kern w:val="0"/>
          <w:sz w:val="24"/>
          <w:highlight w:val="none"/>
          <w:lang w:val="en-US" w:eastAsia="zh-CN"/>
        </w:rPr>
        <w:t xml:space="preserve">    2、上表明细中“</w:t>
      </w:r>
      <w:r>
        <w:rPr>
          <w:rFonts w:hint="eastAsia" w:ascii="仿宋" w:eastAsia="仿宋" w:cs="仿宋_GB2312"/>
          <w:color w:val="auto"/>
          <w:sz w:val="24"/>
          <w:highlight w:val="none"/>
          <w:lang w:val="en-US" w:eastAsia="zh-CN"/>
        </w:rPr>
        <w:t>其他备用项目</w:t>
      </w:r>
      <w:r>
        <w:rPr>
          <w:rFonts w:hint="eastAsia" w:ascii="仿宋" w:eastAsia="仿宋" w:cs="仿宋_GB2312"/>
          <w:b/>
          <w:color w:val="auto"/>
          <w:kern w:val="0"/>
          <w:sz w:val="24"/>
          <w:highlight w:val="none"/>
          <w:lang w:val="en-US" w:eastAsia="zh-CN"/>
        </w:rPr>
        <w:t>”作为采购人预留费用，如实际发生除明细表1-5项以外的服务及采购项目双方协商具体费用后计取，如实际不发生则不计取。</w:t>
      </w:r>
    </w:p>
    <w:p>
      <w:pPr>
        <w:spacing w:line="360" w:lineRule="auto"/>
        <w:ind w:left="-2" w:leftChars="-1" w:firstLine="480" w:firstLineChars="20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rPr>
        <w:t>2</w:t>
      </w:r>
      <w:r>
        <w:rPr>
          <w:rFonts w:hint="eastAsia" w:ascii="仿宋" w:eastAsia="仿宋" w:cs="仿宋_GB2312"/>
          <w:color w:val="auto"/>
          <w:kern w:val="0"/>
          <w:sz w:val="24"/>
          <w:highlight w:val="none"/>
          <w:lang w:val="zh-CN"/>
        </w:rPr>
        <w:t>、投标人需按本表格式填写，如表格行数不够，可自行向下扩展。</w:t>
      </w:r>
      <w:r>
        <w:rPr>
          <w:rFonts w:hint="eastAsia" w:ascii="仿宋" w:eastAsia="仿宋"/>
          <w:color w:val="auto"/>
          <w:sz w:val="24"/>
          <w:highlight w:val="none"/>
        </w:rPr>
        <w:t>如无对应内容，则填写：“无或/”。</w:t>
      </w:r>
    </w:p>
    <w:p>
      <w:pPr>
        <w:snapToGrid w:val="0"/>
        <w:spacing w:line="360" w:lineRule="auto"/>
        <w:ind w:left="480"/>
        <w:rPr>
          <w:rFonts w:hint="eastAsia" w:ascii="仿宋" w:eastAsia="仿宋" w:cs="仿宋_GB2312"/>
          <w:b/>
          <w:bCs/>
          <w:color w:val="auto"/>
          <w:kern w:val="0"/>
          <w:sz w:val="24"/>
          <w:highlight w:val="none"/>
          <w:lang w:val="zh-CN"/>
        </w:rPr>
      </w:pPr>
      <w:r>
        <w:rPr>
          <w:rFonts w:hint="eastAsia" w:ascii="仿宋" w:eastAsia="仿宋" w:cs="仿宋_GB2312"/>
          <w:color w:val="auto"/>
          <w:kern w:val="0"/>
          <w:sz w:val="24"/>
          <w:highlight w:val="none"/>
        </w:rPr>
        <w:t>3</w:t>
      </w:r>
      <w:r>
        <w:rPr>
          <w:rFonts w:hint="eastAsia" w:ascii="仿宋" w:eastAsia="仿宋" w:cs="仿宋_GB2312"/>
          <w:color w:val="auto"/>
          <w:kern w:val="0"/>
          <w:sz w:val="24"/>
          <w:highlight w:val="none"/>
          <w:lang w:val="zh-CN"/>
        </w:rPr>
        <w:t>、有关本项目实施所涉及的一切费用（详见前附表）均计入报价。</w:t>
      </w:r>
    </w:p>
    <w:p>
      <w:pPr>
        <w:snapToGrid w:val="0"/>
        <w:spacing w:line="360" w:lineRule="auto"/>
        <w:ind w:firstLine="480" w:firstLineChars="200"/>
        <w:jc w:val="left"/>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rPr>
        <w:t>4</w:t>
      </w:r>
      <w:r>
        <w:rPr>
          <w:rFonts w:hint="eastAsia" w:ascii="仿宋" w:eastAsia="仿宋" w:cs="仿宋_GB2312"/>
          <w:color w:val="auto"/>
          <w:kern w:val="0"/>
          <w:sz w:val="24"/>
          <w:highlight w:val="none"/>
          <w:lang w:val="zh-CN"/>
        </w:rPr>
        <w:t>、特别提示：采购代理机构将对项目名称和项目编号，中标供应商名称、地址和中标金额，主要中标标的的名称、规格型号、数量、单价、服务要求等予以公示。</w:t>
      </w:r>
    </w:p>
    <w:p>
      <w:pPr>
        <w:pStyle w:val="18"/>
        <w:ind w:firstLine="480" w:firstLineChars="200"/>
        <w:rPr>
          <w:rFonts w:hint="default" w:eastAsia="仿宋"/>
          <w:color w:val="auto"/>
          <w:highlight w:val="none"/>
          <w:lang w:val="en-US" w:eastAsia="zh-CN"/>
        </w:rPr>
      </w:pPr>
      <w:r>
        <w:rPr>
          <w:rFonts w:hint="eastAsia" w:ascii="仿宋" w:eastAsia="仿宋" w:cs="仿宋_GB2312"/>
          <w:color w:val="auto"/>
          <w:kern w:val="0"/>
          <w:sz w:val="24"/>
          <w:highlight w:val="none"/>
          <w:lang w:val="en-US" w:eastAsia="zh-CN"/>
        </w:rPr>
        <w:t>5、中标单位如不按照招标方的宣传物料需求进行采购，则招标方有权进行自行采购，并将宣传物料费用在结算中剔除。</w:t>
      </w:r>
    </w:p>
    <w:p>
      <w:pPr>
        <w:spacing w:line="360" w:lineRule="auto"/>
        <w:ind w:right="960" w:firstLine="10440" w:firstLineChars="4350"/>
        <w:rPr>
          <w:rFonts w:hint="eastAsia" w:ascii="仿宋" w:eastAsia="仿宋" w:cs="仿宋_GB2312"/>
          <w:color w:val="auto"/>
          <w:sz w:val="24"/>
          <w:highlight w:val="none"/>
        </w:rPr>
      </w:pPr>
      <w:r>
        <w:rPr>
          <w:rFonts w:hint="eastAsia" w:ascii="仿宋" w:hAnsi="仿宋" w:eastAsia="仿宋" w:cs="仿宋_GB2312"/>
          <w:color w:val="auto"/>
          <w:kern w:val="0"/>
          <w:sz w:val="24"/>
          <w:highlight w:val="none"/>
          <w:lang w:val="zh-CN"/>
        </w:rPr>
        <w:t>投标人（</w:t>
      </w:r>
      <w:r>
        <w:rPr>
          <w:rFonts w:hint="eastAsia" w:ascii="仿宋" w:hAnsi="仿宋" w:eastAsia="仿宋" w:cs="仿宋_GB2312"/>
          <w:color w:val="auto"/>
          <w:kern w:val="0"/>
          <w:sz w:val="24"/>
          <w:highlight w:val="none"/>
          <w:lang w:val="en-US" w:eastAsia="zh-CN"/>
        </w:rPr>
        <w:t>盖章</w:t>
      </w:r>
      <w:r>
        <w:rPr>
          <w:rFonts w:hint="eastAsia" w:ascii="仿宋" w:hAnsi="仿宋" w:eastAsia="仿宋" w:cs="仿宋_GB2312"/>
          <w:color w:val="auto"/>
          <w:kern w:val="0"/>
          <w:sz w:val="24"/>
          <w:highlight w:val="none"/>
          <w:lang w:val="zh-CN"/>
        </w:rPr>
        <w:t>）</w:t>
      </w:r>
      <w:r>
        <w:rPr>
          <w:rFonts w:hint="eastAsia" w:ascii="仿宋" w:eastAsia="仿宋" w:cs="仿宋_GB2312"/>
          <w:color w:val="auto"/>
          <w:sz w:val="24"/>
          <w:highlight w:val="none"/>
        </w:rPr>
        <w:t>：</w:t>
      </w:r>
    </w:p>
    <w:p>
      <w:pPr>
        <w:spacing w:line="360" w:lineRule="auto"/>
        <w:ind w:right="960"/>
        <w:jc w:val="center"/>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rPr>
        <w:t xml:space="preserve">                                                                                   日期：  年   月 </w:t>
      </w:r>
      <w:bookmarkEnd w:id="92"/>
      <w:r>
        <w:rPr>
          <w:rFonts w:hint="eastAsia" w:ascii="仿宋" w:eastAsia="仿宋" w:cs="仿宋_GB2312"/>
          <w:color w:val="auto"/>
          <w:sz w:val="24"/>
          <w:highlight w:val="none"/>
          <w:lang w:val="en-US" w:eastAsia="zh-CN"/>
        </w:rPr>
        <w:t xml:space="preserve"> 日</w:t>
      </w:r>
    </w:p>
    <w:p>
      <w:pPr>
        <w:pStyle w:val="2"/>
        <w:rPr>
          <w:rFonts w:hint="eastAsia" w:ascii="仿宋" w:eastAsia="仿宋" w:cs="仿宋_GB2312"/>
          <w:color w:val="auto"/>
          <w:sz w:val="24"/>
          <w:highlight w:val="none"/>
          <w:lang w:val="en-US" w:eastAsia="zh-CN"/>
        </w:rPr>
      </w:pPr>
    </w:p>
    <w:p>
      <w:pPr>
        <w:pStyle w:val="2"/>
        <w:rPr>
          <w:rFonts w:hint="eastAsia" w:ascii="仿宋" w:eastAsia="仿宋" w:cs="仿宋_GB2312"/>
          <w:color w:val="auto"/>
          <w:sz w:val="24"/>
          <w:highlight w:val="none"/>
          <w:lang w:val="en-US" w:eastAsia="zh-CN"/>
        </w:rPr>
      </w:pPr>
    </w:p>
    <w:p>
      <w:pPr>
        <w:pStyle w:val="2"/>
        <w:rPr>
          <w:rFonts w:hint="eastAsia" w:ascii="仿宋" w:eastAsia="仿宋" w:cs="仿宋_GB2312"/>
          <w:color w:val="auto"/>
          <w:sz w:val="24"/>
          <w:highlight w:val="none"/>
          <w:lang w:val="en-US" w:eastAsia="zh-CN"/>
        </w:rPr>
      </w:pPr>
    </w:p>
    <w:p>
      <w:pPr>
        <w:pStyle w:val="2"/>
        <w:rPr>
          <w:rFonts w:hint="eastAsia" w:ascii="仿宋" w:eastAsia="仿宋" w:cs="仿宋_GB2312"/>
          <w:color w:val="auto"/>
          <w:sz w:val="24"/>
          <w:highlight w:val="none"/>
          <w:lang w:val="en-US" w:eastAsia="zh-CN"/>
        </w:rPr>
      </w:pPr>
    </w:p>
    <w:p>
      <w:pPr>
        <w:pStyle w:val="2"/>
        <w:rPr>
          <w:rFonts w:hint="eastAsia" w:ascii="仿宋" w:eastAsia="仿宋" w:cs="仿宋_GB2312"/>
          <w:color w:val="auto"/>
          <w:sz w:val="24"/>
          <w:highlight w:val="none"/>
          <w:lang w:val="en-US" w:eastAsia="zh-CN"/>
        </w:rPr>
      </w:pPr>
    </w:p>
    <w:p>
      <w:pPr>
        <w:pStyle w:val="2"/>
        <w:rPr>
          <w:rFonts w:hint="eastAsia" w:ascii="仿宋" w:eastAsia="仿宋" w:cs="仿宋_GB2312"/>
          <w:color w:val="auto"/>
          <w:sz w:val="24"/>
          <w:highlight w:val="none"/>
          <w:lang w:val="en-US" w:eastAsia="zh-CN"/>
        </w:rPr>
      </w:pPr>
    </w:p>
    <w:p>
      <w:pPr>
        <w:pStyle w:val="2"/>
        <w:rPr>
          <w:rFonts w:hint="eastAsia" w:ascii="仿宋" w:eastAsia="仿宋" w:cs="仿宋_GB2312"/>
          <w:color w:val="auto"/>
          <w:sz w:val="24"/>
          <w:highlight w:val="none"/>
          <w:lang w:val="en-US" w:eastAsia="zh-CN"/>
        </w:rPr>
      </w:pPr>
    </w:p>
    <w:p>
      <w:pPr>
        <w:pStyle w:val="2"/>
        <w:ind w:left="0" w:leftChars="0" w:firstLine="0" w:firstLineChars="0"/>
        <w:rPr>
          <w:rFonts w:hint="default" w:ascii="仿宋" w:eastAsia="仿宋" w:cs="仿宋_GB2312"/>
          <w:color w:val="auto"/>
          <w:sz w:val="24"/>
          <w:highlight w:val="none"/>
          <w:lang w:val="en-US" w:eastAsia="zh-CN"/>
        </w:rPr>
        <w:sectPr>
          <w:pgSz w:w="16838" w:h="11906" w:orient="landscape"/>
          <w:pgMar w:top="1418" w:right="1276" w:bottom="1418" w:left="1247" w:header="851" w:footer="992" w:gutter="0"/>
          <w:cols w:space="720" w:num="1"/>
          <w:titlePg/>
          <w:docGrid w:linePitch="312" w:charSpace="0"/>
        </w:sectPr>
      </w:pPr>
    </w:p>
    <w:p>
      <w:pPr>
        <w:pStyle w:val="2"/>
        <w:ind w:left="0" w:leftChars="0" w:firstLine="0" w:firstLineChars="0"/>
        <w:rPr>
          <w:rFonts w:hint="eastAsia" w:ascii="宋体" w:hAnsi="宋体" w:cs="宋体"/>
          <w:b/>
          <w:bCs/>
          <w:color w:val="auto"/>
          <w:sz w:val="24"/>
          <w:highlight w:val="none"/>
          <w:lang w:eastAsia="zh-CN"/>
        </w:rPr>
      </w:pPr>
    </w:p>
    <w:sectPr>
      <w:footerReference r:id="rId12" w:type="first"/>
      <w:footerReference r:id="rId11" w:type="default"/>
      <w:pgSz w:w="11906" w:h="16838"/>
      <w:pgMar w:top="1440" w:right="1797" w:bottom="909" w:left="1797"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2"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8"/>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C1eFSZzgEAAJYDAAAOAAAAAAAAAAEAIAAAAB8BAABkcnMv&#10;ZTJvRG9jLnhtbFBLBQYAAAAABgAGAFkBAABf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3"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8"/>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IWccvzgEAAJcDAAAOAAAAAAAAAAEAIAAAAB8BAABkcnMv&#10;ZTJvRG9jLnhtbFBLBQYAAAAABgAGAFkBAABf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fldChar w:fldCharType="begin"/>
    </w:r>
    <w:r>
      <w:rPr>
        <w:rStyle w:val="50"/>
      </w:rPr>
      <w:instrText xml:space="preserve">PAGE  </w:instrText>
    </w:r>
    <w:r>
      <w:fldChar w:fldCharType="separate"/>
    </w:r>
    <w:r>
      <w:fldChar w:fldCharType="end"/>
    </w:r>
  </w:p>
  <w:p>
    <w:pPr>
      <w:pStyle w:val="28"/>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4"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8"/>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3b/RfzgEAAJcDAAAOAAAAAAAAAAEAIAAAAB8BAABkcnMv&#10;ZTJvRG9jLnhtbFBLBQYAAAAABgAGAFkBAABf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ind w:firstLine="3060" w:firstLineChars="17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9E052"/>
    <w:multiLevelType w:val="singleLevel"/>
    <w:tmpl w:val="EF29E052"/>
    <w:lvl w:ilvl="0" w:tentative="0">
      <w:start w:val="1"/>
      <w:numFmt w:val="decimal"/>
      <w:suff w:val="nothing"/>
      <w:lvlText w:val="%1）"/>
      <w:lvlJc w:val="left"/>
      <w:pPr>
        <w:ind w:left="480" w:firstLine="0"/>
      </w:pPr>
    </w:lvl>
  </w:abstractNum>
  <w:abstractNum w:abstractNumId="1">
    <w:nsid w:val="69DC6520"/>
    <w:multiLevelType w:val="multilevel"/>
    <w:tmpl w:val="69DC6520"/>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upperLetter"/>
      <w:pStyle w:val="10"/>
      <w:lvlText w:val="%3、"/>
      <w:lvlJc w:val="left"/>
      <w:pPr>
        <w:tabs>
          <w:tab w:val="left" w:pos="1560"/>
        </w:tabs>
        <w:ind w:left="1560" w:hanging="720"/>
      </w:pPr>
      <w:rPr>
        <w:rFonts w:hint="default" w:ascii="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EA15618"/>
    <w:multiLevelType w:val="singleLevel"/>
    <w:tmpl w:val="6EA15618"/>
    <w:lvl w:ilvl="0" w:tentative="0">
      <w:start w:val="1"/>
      <w:numFmt w:val="upperLetter"/>
      <w:pStyle w:val="8"/>
      <w:lvlText w:val="%1、"/>
      <w:lvlJc w:val="left"/>
      <w:pPr>
        <w:tabs>
          <w:tab w:val="left" w:pos="1050"/>
        </w:tabs>
        <w:ind w:left="1050" w:hanging="495"/>
      </w:pPr>
      <w:rPr>
        <w:rFonts w:hint="eastAsia"/>
      </w:rPr>
    </w:lvl>
  </w:abstractNum>
  <w:abstractNum w:abstractNumId="3">
    <w:nsid w:val="75743E7D"/>
    <w:multiLevelType w:val="multilevel"/>
    <w:tmpl w:val="75743E7D"/>
    <w:lvl w:ilvl="0" w:tentative="0">
      <w:start w:val="1"/>
      <w:numFmt w:val="bullet"/>
      <w:pStyle w:val="40"/>
      <w:lvlText w:val=""/>
      <w:lvlJc w:val="left"/>
      <w:pPr>
        <w:tabs>
          <w:tab w:val="left" w:pos="1065"/>
        </w:tabs>
        <w:ind w:left="1065" w:hanging="420"/>
      </w:pPr>
      <w:rPr>
        <w:rFonts w:hint="default" w:ascii="Wingdings" w:hAnsi="Wingdings"/>
      </w:rPr>
    </w:lvl>
    <w:lvl w:ilvl="1" w:tentative="0">
      <w:start w:val="3"/>
      <w:numFmt w:val="decimalFullWidth"/>
      <w:lvlText w:val="%2．"/>
      <w:lvlJc w:val="left"/>
      <w:pPr>
        <w:tabs>
          <w:tab w:val="left" w:pos="1785"/>
        </w:tabs>
        <w:ind w:left="1785" w:hanging="720"/>
      </w:pPr>
      <w:rPr>
        <w:rFonts w:hint="eastAsia"/>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ZGY4NDA5ZjE2ZDcwMjFhMTNlNmQ3NDE2Yjk4N2YifQ=="/>
  </w:docVars>
  <w:rsids>
    <w:rsidRoot w:val="00172A27"/>
    <w:rsid w:val="00004988"/>
    <w:rsid w:val="000117EE"/>
    <w:rsid w:val="00014A11"/>
    <w:rsid w:val="00020EF0"/>
    <w:rsid w:val="00024A51"/>
    <w:rsid w:val="00030D7C"/>
    <w:rsid w:val="000316B6"/>
    <w:rsid w:val="00032DF6"/>
    <w:rsid w:val="000435BC"/>
    <w:rsid w:val="000440D9"/>
    <w:rsid w:val="00053DD3"/>
    <w:rsid w:val="00092682"/>
    <w:rsid w:val="000B2A00"/>
    <w:rsid w:val="000B4EE1"/>
    <w:rsid w:val="000B7BCA"/>
    <w:rsid w:val="000C28AD"/>
    <w:rsid w:val="000D4077"/>
    <w:rsid w:val="000D60D8"/>
    <w:rsid w:val="000D7D61"/>
    <w:rsid w:val="000E6A5D"/>
    <w:rsid w:val="000F12C3"/>
    <w:rsid w:val="000F6F92"/>
    <w:rsid w:val="0010243C"/>
    <w:rsid w:val="001121C2"/>
    <w:rsid w:val="00121876"/>
    <w:rsid w:val="00125A91"/>
    <w:rsid w:val="00144D4E"/>
    <w:rsid w:val="0015418D"/>
    <w:rsid w:val="00165B6B"/>
    <w:rsid w:val="00172A27"/>
    <w:rsid w:val="0017672E"/>
    <w:rsid w:val="00176E73"/>
    <w:rsid w:val="00182AC6"/>
    <w:rsid w:val="00184856"/>
    <w:rsid w:val="00185DE4"/>
    <w:rsid w:val="00190433"/>
    <w:rsid w:val="001954EF"/>
    <w:rsid w:val="00197E77"/>
    <w:rsid w:val="001A1204"/>
    <w:rsid w:val="001A68EE"/>
    <w:rsid w:val="001B1CB8"/>
    <w:rsid w:val="001B58EA"/>
    <w:rsid w:val="001D56F4"/>
    <w:rsid w:val="001E0E13"/>
    <w:rsid w:val="001E5355"/>
    <w:rsid w:val="001F73B6"/>
    <w:rsid w:val="002169D9"/>
    <w:rsid w:val="00224226"/>
    <w:rsid w:val="00224408"/>
    <w:rsid w:val="00226277"/>
    <w:rsid w:val="00232F43"/>
    <w:rsid w:val="00234356"/>
    <w:rsid w:val="00234CDD"/>
    <w:rsid w:val="002357A6"/>
    <w:rsid w:val="00235A80"/>
    <w:rsid w:val="0024217E"/>
    <w:rsid w:val="00250535"/>
    <w:rsid w:val="00251B2D"/>
    <w:rsid w:val="00254883"/>
    <w:rsid w:val="00255C74"/>
    <w:rsid w:val="002714B3"/>
    <w:rsid w:val="002719D2"/>
    <w:rsid w:val="002773E0"/>
    <w:rsid w:val="002810B0"/>
    <w:rsid w:val="00285A0D"/>
    <w:rsid w:val="00291E85"/>
    <w:rsid w:val="002A095D"/>
    <w:rsid w:val="002A3432"/>
    <w:rsid w:val="002A6C41"/>
    <w:rsid w:val="002B0654"/>
    <w:rsid w:val="002B1D5A"/>
    <w:rsid w:val="002C41CF"/>
    <w:rsid w:val="002E2E0C"/>
    <w:rsid w:val="002F370C"/>
    <w:rsid w:val="002F6779"/>
    <w:rsid w:val="003032C5"/>
    <w:rsid w:val="00306FB1"/>
    <w:rsid w:val="003104F7"/>
    <w:rsid w:val="003124DB"/>
    <w:rsid w:val="0031493E"/>
    <w:rsid w:val="003209E7"/>
    <w:rsid w:val="00321D49"/>
    <w:rsid w:val="00334731"/>
    <w:rsid w:val="003376CC"/>
    <w:rsid w:val="00351409"/>
    <w:rsid w:val="0035219B"/>
    <w:rsid w:val="00353A94"/>
    <w:rsid w:val="0036305C"/>
    <w:rsid w:val="003667FE"/>
    <w:rsid w:val="00372253"/>
    <w:rsid w:val="003768F3"/>
    <w:rsid w:val="00376BB8"/>
    <w:rsid w:val="00377A50"/>
    <w:rsid w:val="00393EFD"/>
    <w:rsid w:val="00395C0A"/>
    <w:rsid w:val="003B25A6"/>
    <w:rsid w:val="003B7407"/>
    <w:rsid w:val="003C1BBE"/>
    <w:rsid w:val="003C30A6"/>
    <w:rsid w:val="003D7EA2"/>
    <w:rsid w:val="003E4442"/>
    <w:rsid w:val="003F01F7"/>
    <w:rsid w:val="003F103E"/>
    <w:rsid w:val="003F70EA"/>
    <w:rsid w:val="0040561B"/>
    <w:rsid w:val="00406C97"/>
    <w:rsid w:val="00412290"/>
    <w:rsid w:val="004305B0"/>
    <w:rsid w:val="0043068A"/>
    <w:rsid w:val="004307E3"/>
    <w:rsid w:val="00446D20"/>
    <w:rsid w:val="00447100"/>
    <w:rsid w:val="00450851"/>
    <w:rsid w:val="00454986"/>
    <w:rsid w:val="00462AFC"/>
    <w:rsid w:val="00467306"/>
    <w:rsid w:val="00475211"/>
    <w:rsid w:val="00490166"/>
    <w:rsid w:val="00494CA5"/>
    <w:rsid w:val="0049501F"/>
    <w:rsid w:val="004A0F4E"/>
    <w:rsid w:val="004A7050"/>
    <w:rsid w:val="004D39FC"/>
    <w:rsid w:val="004E3933"/>
    <w:rsid w:val="004F3C50"/>
    <w:rsid w:val="004F738B"/>
    <w:rsid w:val="005006E6"/>
    <w:rsid w:val="00503898"/>
    <w:rsid w:val="005114FD"/>
    <w:rsid w:val="00516E1B"/>
    <w:rsid w:val="00542232"/>
    <w:rsid w:val="00550651"/>
    <w:rsid w:val="005533F0"/>
    <w:rsid w:val="00572440"/>
    <w:rsid w:val="00572AD2"/>
    <w:rsid w:val="00575025"/>
    <w:rsid w:val="00576B6F"/>
    <w:rsid w:val="005849CC"/>
    <w:rsid w:val="005871DF"/>
    <w:rsid w:val="0058799E"/>
    <w:rsid w:val="00593F35"/>
    <w:rsid w:val="0059452E"/>
    <w:rsid w:val="00597AE2"/>
    <w:rsid w:val="005A072A"/>
    <w:rsid w:val="005A555F"/>
    <w:rsid w:val="005C5999"/>
    <w:rsid w:val="005D5B97"/>
    <w:rsid w:val="005D7AD6"/>
    <w:rsid w:val="005D7B13"/>
    <w:rsid w:val="005E4FFD"/>
    <w:rsid w:val="00610D9D"/>
    <w:rsid w:val="006130EC"/>
    <w:rsid w:val="00617C2C"/>
    <w:rsid w:val="00634193"/>
    <w:rsid w:val="00634FF9"/>
    <w:rsid w:val="00636CBC"/>
    <w:rsid w:val="006414EE"/>
    <w:rsid w:val="00667A9C"/>
    <w:rsid w:val="00680F76"/>
    <w:rsid w:val="00686BA5"/>
    <w:rsid w:val="00692E0D"/>
    <w:rsid w:val="00694109"/>
    <w:rsid w:val="00696DF9"/>
    <w:rsid w:val="006A28CE"/>
    <w:rsid w:val="006B2CBB"/>
    <w:rsid w:val="006C0615"/>
    <w:rsid w:val="006C2EF9"/>
    <w:rsid w:val="006D5132"/>
    <w:rsid w:val="006D6584"/>
    <w:rsid w:val="006E5361"/>
    <w:rsid w:val="006E6373"/>
    <w:rsid w:val="006F14E7"/>
    <w:rsid w:val="006F32CE"/>
    <w:rsid w:val="006F3935"/>
    <w:rsid w:val="006F5246"/>
    <w:rsid w:val="006F6225"/>
    <w:rsid w:val="006F6F3C"/>
    <w:rsid w:val="00702905"/>
    <w:rsid w:val="00705C72"/>
    <w:rsid w:val="00707CC4"/>
    <w:rsid w:val="007604B7"/>
    <w:rsid w:val="00794867"/>
    <w:rsid w:val="00796280"/>
    <w:rsid w:val="007A11BE"/>
    <w:rsid w:val="007A34E7"/>
    <w:rsid w:val="007A5DEA"/>
    <w:rsid w:val="007B5938"/>
    <w:rsid w:val="007C5013"/>
    <w:rsid w:val="007D0752"/>
    <w:rsid w:val="007D19BB"/>
    <w:rsid w:val="007E304C"/>
    <w:rsid w:val="007E5261"/>
    <w:rsid w:val="007E7FD8"/>
    <w:rsid w:val="00800644"/>
    <w:rsid w:val="0080248F"/>
    <w:rsid w:val="00811E9D"/>
    <w:rsid w:val="0084617A"/>
    <w:rsid w:val="0085568A"/>
    <w:rsid w:val="00863114"/>
    <w:rsid w:val="00881B02"/>
    <w:rsid w:val="008848A6"/>
    <w:rsid w:val="00892F7B"/>
    <w:rsid w:val="00897384"/>
    <w:rsid w:val="008A06FD"/>
    <w:rsid w:val="008A5DCA"/>
    <w:rsid w:val="008A696A"/>
    <w:rsid w:val="008B04BA"/>
    <w:rsid w:val="008B0ACF"/>
    <w:rsid w:val="008B12F9"/>
    <w:rsid w:val="008C54EC"/>
    <w:rsid w:val="008D0706"/>
    <w:rsid w:val="008D1BB7"/>
    <w:rsid w:val="008D293F"/>
    <w:rsid w:val="008F11BF"/>
    <w:rsid w:val="00901F3F"/>
    <w:rsid w:val="009127CC"/>
    <w:rsid w:val="00924520"/>
    <w:rsid w:val="0093249F"/>
    <w:rsid w:val="0094142F"/>
    <w:rsid w:val="00941A7A"/>
    <w:rsid w:val="00942C6E"/>
    <w:rsid w:val="009501A5"/>
    <w:rsid w:val="0095391B"/>
    <w:rsid w:val="00963C48"/>
    <w:rsid w:val="009647FD"/>
    <w:rsid w:val="00967783"/>
    <w:rsid w:val="00972427"/>
    <w:rsid w:val="00974E1B"/>
    <w:rsid w:val="0098248D"/>
    <w:rsid w:val="00985B72"/>
    <w:rsid w:val="0099587B"/>
    <w:rsid w:val="009A036D"/>
    <w:rsid w:val="009A64DC"/>
    <w:rsid w:val="009A7AAB"/>
    <w:rsid w:val="009B0A03"/>
    <w:rsid w:val="009C49F0"/>
    <w:rsid w:val="009E183D"/>
    <w:rsid w:val="009E1AB7"/>
    <w:rsid w:val="009E27AE"/>
    <w:rsid w:val="009E5611"/>
    <w:rsid w:val="009F0CFF"/>
    <w:rsid w:val="009F3872"/>
    <w:rsid w:val="009F7BEF"/>
    <w:rsid w:val="00A153A3"/>
    <w:rsid w:val="00A16A38"/>
    <w:rsid w:val="00A212D3"/>
    <w:rsid w:val="00A37734"/>
    <w:rsid w:val="00A455FE"/>
    <w:rsid w:val="00A456EF"/>
    <w:rsid w:val="00A54437"/>
    <w:rsid w:val="00A55039"/>
    <w:rsid w:val="00A5674F"/>
    <w:rsid w:val="00A61982"/>
    <w:rsid w:val="00A777CB"/>
    <w:rsid w:val="00A90E00"/>
    <w:rsid w:val="00A95192"/>
    <w:rsid w:val="00AB143A"/>
    <w:rsid w:val="00AB4C15"/>
    <w:rsid w:val="00AD58B1"/>
    <w:rsid w:val="00AE1668"/>
    <w:rsid w:val="00AF3F16"/>
    <w:rsid w:val="00AF6761"/>
    <w:rsid w:val="00B21897"/>
    <w:rsid w:val="00B52988"/>
    <w:rsid w:val="00B608DE"/>
    <w:rsid w:val="00B70E41"/>
    <w:rsid w:val="00B73DD0"/>
    <w:rsid w:val="00B812F2"/>
    <w:rsid w:val="00B82FE3"/>
    <w:rsid w:val="00B83DED"/>
    <w:rsid w:val="00B85DD4"/>
    <w:rsid w:val="00B930E2"/>
    <w:rsid w:val="00B93E06"/>
    <w:rsid w:val="00BA3614"/>
    <w:rsid w:val="00BC59D6"/>
    <w:rsid w:val="00BD01B9"/>
    <w:rsid w:val="00BD26E7"/>
    <w:rsid w:val="00BD5ABB"/>
    <w:rsid w:val="00BD6732"/>
    <w:rsid w:val="00BE7105"/>
    <w:rsid w:val="00BF1FBD"/>
    <w:rsid w:val="00BF4F4B"/>
    <w:rsid w:val="00C00889"/>
    <w:rsid w:val="00C059AA"/>
    <w:rsid w:val="00C05BE0"/>
    <w:rsid w:val="00C109AA"/>
    <w:rsid w:val="00C1666F"/>
    <w:rsid w:val="00C17EA4"/>
    <w:rsid w:val="00C25942"/>
    <w:rsid w:val="00C27C56"/>
    <w:rsid w:val="00C35378"/>
    <w:rsid w:val="00C35F37"/>
    <w:rsid w:val="00C4224C"/>
    <w:rsid w:val="00C44B31"/>
    <w:rsid w:val="00C514DD"/>
    <w:rsid w:val="00C641EB"/>
    <w:rsid w:val="00C64E56"/>
    <w:rsid w:val="00C77EEE"/>
    <w:rsid w:val="00C84022"/>
    <w:rsid w:val="00C85EFC"/>
    <w:rsid w:val="00C90B3A"/>
    <w:rsid w:val="00C9439D"/>
    <w:rsid w:val="00CA727C"/>
    <w:rsid w:val="00CB6A30"/>
    <w:rsid w:val="00CC17B4"/>
    <w:rsid w:val="00CC1F78"/>
    <w:rsid w:val="00CC7D12"/>
    <w:rsid w:val="00CD1CB4"/>
    <w:rsid w:val="00CE1BE3"/>
    <w:rsid w:val="00CE4C53"/>
    <w:rsid w:val="00D03FAB"/>
    <w:rsid w:val="00D16709"/>
    <w:rsid w:val="00D179AB"/>
    <w:rsid w:val="00D21451"/>
    <w:rsid w:val="00D33D00"/>
    <w:rsid w:val="00D34E46"/>
    <w:rsid w:val="00D3681C"/>
    <w:rsid w:val="00D617CE"/>
    <w:rsid w:val="00D62EA7"/>
    <w:rsid w:val="00D67F9F"/>
    <w:rsid w:val="00D76146"/>
    <w:rsid w:val="00D76EF9"/>
    <w:rsid w:val="00D9198B"/>
    <w:rsid w:val="00D920C3"/>
    <w:rsid w:val="00D97053"/>
    <w:rsid w:val="00D97C22"/>
    <w:rsid w:val="00DA7BFD"/>
    <w:rsid w:val="00DB6DD4"/>
    <w:rsid w:val="00DC4E94"/>
    <w:rsid w:val="00DE0A24"/>
    <w:rsid w:val="00DE2FBE"/>
    <w:rsid w:val="00DF18F8"/>
    <w:rsid w:val="00DF1FF5"/>
    <w:rsid w:val="00DF5A9B"/>
    <w:rsid w:val="00E001D3"/>
    <w:rsid w:val="00E00282"/>
    <w:rsid w:val="00E00F94"/>
    <w:rsid w:val="00E063C6"/>
    <w:rsid w:val="00E134AC"/>
    <w:rsid w:val="00E1732B"/>
    <w:rsid w:val="00E32565"/>
    <w:rsid w:val="00E349B4"/>
    <w:rsid w:val="00E34C5B"/>
    <w:rsid w:val="00E3680F"/>
    <w:rsid w:val="00E3748D"/>
    <w:rsid w:val="00E37799"/>
    <w:rsid w:val="00E41B9B"/>
    <w:rsid w:val="00E42405"/>
    <w:rsid w:val="00E50CE2"/>
    <w:rsid w:val="00E605C1"/>
    <w:rsid w:val="00E64D63"/>
    <w:rsid w:val="00E64EA4"/>
    <w:rsid w:val="00E7221E"/>
    <w:rsid w:val="00E807ED"/>
    <w:rsid w:val="00E932E4"/>
    <w:rsid w:val="00E96196"/>
    <w:rsid w:val="00E96F29"/>
    <w:rsid w:val="00EA0E11"/>
    <w:rsid w:val="00EA1175"/>
    <w:rsid w:val="00EA5AB6"/>
    <w:rsid w:val="00EC7F6A"/>
    <w:rsid w:val="00ED6051"/>
    <w:rsid w:val="00F12E04"/>
    <w:rsid w:val="00F203FD"/>
    <w:rsid w:val="00F21A52"/>
    <w:rsid w:val="00F22CB4"/>
    <w:rsid w:val="00F26AD0"/>
    <w:rsid w:val="00F33B81"/>
    <w:rsid w:val="00F4088C"/>
    <w:rsid w:val="00F42578"/>
    <w:rsid w:val="00F45D3E"/>
    <w:rsid w:val="00F54770"/>
    <w:rsid w:val="00F71782"/>
    <w:rsid w:val="00F8222E"/>
    <w:rsid w:val="00F861F4"/>
    <w:rsid w:val="00F9137B"/>
    <w:rsid w:val="00FA59A9"/>
    <w:rsid w:val="00FC2563"/>
    <w:rsid w:val="00FC4188"/>
    <w:rsid w:val="00FE2D9D"/>
    <w:rsid w:val="00FE3B48"/>
    <w:rsid w:val="00FE41EE"/>
    <w:rsid w:val="00FE7C22"/>
    <w:rsid w:val="00FF0F62"/>
    <w:rsid w:val="00FF7E69"/>
    <w:rsid w:val="01101675"/>
    <w:rsid w:val="01B41808"/>
    <w:rsid w:val="02C50B93"/>
    <w:rsid w:val="03BB6210"/>
    <w:rsid w:val="04221DEB"/>
    <w:rsid w:val="04820ADC"/>
    <w:rsid w:val="04AB7D30"/>
    <w:rsid w:val="04CB2483"/>
    <w:rsid w:val="05544226"/>
    <w:rsid w:val="05646C9F"/>
    <w:rsid w:val="060C68AF"/>
    <w:rsid w:val="060F639F"/>
    <w:rsid w:val="0636220B"/>
    <w:rsid w:val="066E1317"/>
    <w:rsid w:val="073836D3"/>
    <w:rsid w:val="07697D31"/>
    <w:rsid w:val="09600354"/>
    <w:rsid w:val="0A0B3589"/>
    <w:rsid w:val="0BD46E8E"/>
    <w:rsid w:val="0BDA2FAB"/>
    <w:rsid w:val="0C7E427E"/>
    <w:rsid w:val="0E3A41D5"/>
    <w:rsid w:val="0EAD49A7"/>
    <w:rsid w:val="0F6D4B85"/>
    <w:rsid w:val="0FBF2BE4"/>
    <w:rsid w:val="10093E5F"/>
    <w:rsid w:val="10777E57"/>
    <w:rsid w:val="10D95F27"/>
    <w:rsid w:val="10F36FE9"/>
    <w:rsid w:val="10F42D61"/>
    <w:rsid w:val="10FC6A38"/>
    <w:rsid w:val="13C46A1B"/>
    <w:rsid w:val="14155303"/>
    <w:rsid w:val="146A5814"/>
    <w:rsid w:val="14C5636C"/>
    <w:rsid w:val="150C0679"/>
    <w:rsid w:val="154D47EE"/>
    <w:rsid w:val="156134F8"/>
    <w:rsid w:val="1581434C"/>
    <w:rsid w:val="15EF3AF7"/>
    <w:rsid w:val="15F64E85"/>
    <w:rsid w:val="16680E21"/>
    <w:rsid w:val="175958F6"/>
    <w:rsid w:val="17872239"/>
    <w:rsid w:val="19AC242B"/>
    <w:rsid w:val="1A1A3838"/>
    <w:rsid w:val="1A534654"/>
    <w:rsid w:val="1B5543FC"/>
    <w:rsid w:val="1C822555"/>
    <w:rsid w:val="1D2F0382"/>
    <w:rsid w:val="1D3A1AFC"/>
    <w:rsid w:val="1D4330A6"/>
    <w:rsid w:val="1DB35651"/>
    <w:rsid w:val="1E5210C2"/>
    <w:rsid w:val="1EAF2075"/>
    <w:rsid w:val="1EB44C7D"/>
    <w:rsid w:val="1EBF079D"/>
    <w:rsid w:val="1EE16DC5"/>
    <w:rsid w:val="1FCA360B"/>
    <w:rsid w:val="1FFB37C4"/>
    <w:rsid w:val="20146634"/>
    <w:rsid w:val="2144119B"/>
    <w:rsid w:val="21690C01"/>
    <w:rsid w:val="216E6218"/>
    <w:rsid w:val="21C83B7A"/>
    <w:rsid w:val="24727DCD"/>
    <w:rsid w:val="249E4A43"/>
    <w:rsid w:val="250255F5"/>
    <w:rsid w:val="25862D36"/>
    <w:rsid w:val="25D16D75"/>
    <w:rsid w:val="25DD396C"/>
    <w:rsid w:val="26473662"/>
    <w:rsid w:val="269710B6"/>
    <w:rsid w:val="26C308E4"/>
    <w:rsid w:val="26D134D1"/>
    <w:rsid w:val="26F7280B"/>
    <w:rsid w:val="27084A19"/>
    <w:rsid w:val="27402A12"/>
    <w:rsid w:val="27844DBB"/>
    <w:rsid w:val="27A37FA7"/>
    <w:rsid w:val="27CC5A46"/>
    <w:rsid w:val="27F21CAC"/>
    <w:rsid w:val="28383E73"/>
    <w:rsid w:val="28D92B11"/>
    <w:rsid w:val="29891E41"/>
    <w:rsid w:val="299627B0"/>
    <w:rsid w:val="29E90B31"/>
    <w:rsid w:val="2AA87F4C"/>
    <w:rsid w:val="2BA80035"/>
    <w:rsid w:val="2BC453B2"/>
    <w:rsid w:val="2BC8773F"/>
    <w:rsid w:val="2C293467"/>
    <w:rsid w:val="2C610E53"/>
    <w:rsid w:val="2D667443"/>
    <w:rsid w:val="2D914CD1"/>
    <w:rsid w:val="2F2919D0"/>
    <w:rsid w:val="2F950E14"/>
    <w:rsid w:val="2FE57FED"/>
    <w:rsid w:val="30D37E45"/>
    <w:rsid w:val="318A49A8"/>
    <w:rsid w:val="322C1F03"/>
    <w:rsid w:val="32E33E18"/>
    <w:rsid w:val="333472C1"/>
    <w:rsid w:val="34B42086"/>
    <w:rsid w:val="34D16D92"/>
    <w:rsid w:val="36BD72BF"/>
    <w:rsid w:val="36C95F72"/>
    <w:rsid w:val="36CF18B2"/>
    <w:rsid w:val="36D30B9F"/>
    <w:rsid w:val="36F96F80"/>
    <w:rsid w:val="37180700"/>
    <w:rsid w:val="37427AD3"/>
    <w:rsid w:val="37585F8C"/>
    <w:rsid w:val="38613F89"/>
    <w:rsid w:val="38D34E86"/>
    <w:rsid w:val="38EC5F48"/>
    <w:rsid w:val="38FB262F"/>
    <w:rsid w:val="3982065B"/>
    <w:rsid w:val="39B66BB8"/>
    <w:rsid w:val="39BC3B6C"/>
    <w:rsid w:val="39D4535A"/>
    <w:rsid w:val="3B0E3D2F"/>
    <w:rsid w:val="3BE949C1"/>
    <w:rsid w:val="3D6407A3"/>
    <w:rsid w:val="3F4C5993"/>
    <w:rsid w:val="3F906520"/>
    <w:rsid w:val="3FA532F5"/>
    <w:rsid w:val="3FC512A1"/>
    <w:rsid w:val="3FFC4714"/>
    <w:rsid w:val="400242A3"/>
    <w:rsid w:val="41DD28D2"/>
    <w:rsid w:val="41E023C2"/>
    <w:rsid w:val="42AD0D70"/>
    <w:rsid w:val="42B07FE6"/>
    <w:rsid w:val="42D204AB"/>
    <w:rsid w:val="437E6337"/>
    <w:rsid w:val="43D74E11"/>
    <w:rsid w:val="444647E8"/>
    <w:rsid w:val="44C71617"/>
    <w:rsid w:val="44F56185"/>
    <w:rsid w:val="458B6AE9"/>
    <w:rsid w:val="45F4468E"/>
    <w:rsid w:val="462911BB"/>
    <w:rsid w:val="46D85D5E"/>
    <w:rsid w:val="47A80109"/>
    <w:rsid w:val="47AA76FA"/>
    <w:rsid w:val="47AE24FB"/>
    <w:rsid w:val="48895562"/>
    <w:rsid w:val="48B953D9"/>
    <w:rsid w:val="48EA3B26"/>
    <w:rsid w:val="49437E06"/>
    <w:rsid w:val="49956188"/>
    <w:rsid w:val="49B16F8D"/>
    <w:rsid w:val="4B44328C"/>
    <w:rsid w:val="4BAD1567"/>
    <w:rsid w:val="4BFA3EE3"/>
    <w:rsid w:val="4C054728"/>
    <w:rsid w:val="4C6205A3"/>
    <w:rsid w:val="4C9149E5"/>
    <w:rsid w:val="4CA46E0E"/>
    <w:rsid w:val="4CD24430"/>
    <w:rsid w:val="4DD3727F"/>
    <w:rsid w:val="4EAD7AD0"/>
    <w:rsid w:val="4FB23BB8"/>
    <w:rsid w:val="4FF82FCD"/>
    <w:rsid w:val="501A73E7"/>
    <w:rsid w:val="503E1327"/>
    <w:rsid w:val="508B5BEF"/>
    <w:rsid w:val="50C8299F"/>
    <w:rsid w:val="50E13A61"/>
    <w:rsid w:val="5124299C"/>
    <w:rsid w:val="51581F75"/>
    <w:rsid w:val="51736DAF"/>
    <w:rsid w:val="51B82A14"/>
    <w:rsid w:val="52357208"/>
    <w:rsid w:val="52635075"/>
    <w:rsid w:val="529A7EF9"/>
    <w:rsid w:val="535F0F31"/>
    <w:rsid w:val="53613F07"/>
    <w:rsid w:val="53964FD7"/>
    <w:rsid w:val="542606BE"/>
    <w:rsid w:val="55067F3A"/>
    <w:rsid w:val="555637D4"/>
    <w:rsid w:val="565371AF"/>
    <w:rsid w:val="56A417B8"/>
    <w:rsid w:val="56DE5899"/>
    <w:rsid w:val="56FB7BFE"/>
    <w:rsid w:val="571C1C97"/>
    <w:rsid w:val="57336F9F"/>
    <w:rsid w:val="57521214"/>
    <w:rsid w:val="57BB5D19"/>
    <w:rsid w:val="583F79EB"/>
    <w:rsid w:val="58403763"/>
    <w:rsid w:val="587A0A23"/>
    <w:rsid w:val="589731A8"/>
    <w:rsid w:val="592A2449"/>
    <w:rsid w:val="59347884"/>
    <w:rsid w:val="59670438"/>
    <w:rsid w:val="59945B14"/>
    <w:rsid w:val="5A696FA1"/>
    <w:rsid w:val="5A797488"/>
    <w:rsid w:val="5ABA3CA0"/>
    <w:rsid w:val="5B57504B"/>
    <w:rsid w:val="5BD4669C"/>
    <w:rsid w:val="5D530C52"/>
    <w:rsid w:val="5E4F2952"/>
    <w:rsid w:val="5E6E2DD8"/>
    <w:rsid w:val="5E7303EE"/>
    <w:rsid w:val="5ECE3C35"/>
    <w:rsid w:val="5EE017FC"/>
    <w:rsid w:val="5F22697B"/>
    <w:rsid w:val="5FD924D3"/>
    <w:rsid w:val="604858AA"/>
    <w:rsid w:val="610B60F7"/>
    <w:rsid w:val="61AD1714"/>
    <w:rsid w:val="61BA4C2C"/>
    <w:rsid w:val="61D12687"/>
    <w:rsid w:val="623D1F2A"/>
    <w:rsid w:val="62CC7F3A"/>
    <w:rsid w:val="63877371"/>
    <w:rsid w:val="643C74D4"/>
    <w:rsid w:val="64E71AB9"/>
    <w:rsid w:val="651D10B4"/>
    <w:rsid w:val="651D5558"/>
    <w:rsid w:val="65D73958"/>
    <w:rsid w:val="66A17AC3"/>
    <w:rsid w:val="66B15F58"/>
    <w:rsid w:val="66D361FA"/>
    <w:rsid w:val="67206C39"/>
    <w:rsid w:val="67293E66"/>
    <w:rsid w:val="680C5410"/>
    <w:rsid w:val="68183DB4"/>
    <w:rsid w:val="68C10799"/>
    <w:rsid w:val="69197DE4"/>
    <w:rsid w:val="6A4408D1"/>
    <w:rsid w:val="6A8614A9"/>
    <w:rsid w:val="6A9242F2"/>
    <w:rsid w:val="6BDF5315"/>
    <w:rsid w:val="6C315445"/>
    <w:rsid w:val="6D7B72BF"/>
    <w:rsid w:val="6E0216D0"/>
    <w:rsid w:val="6E6715F2"/>
    <w:rsid w:val="6F1277AF"/>
    <w:rsid w:val="6F3B71C4"/>
    <w:rsid w:val="6FF43359"/>
    <w:rsid w:val="703D260A"/>
    <w:rsid w:val="708F6BDE"/>
    <w:rsid w:val="70D56CE6"/>
    <w:rsid w:val="70F21646"/>
    <w:rsid w:val="7148599F"/>
    <w:rsid w:val="71ED6986"/>
    <w:rsid w:val="72255A4C"/>
    <w:rsid w:val="73685BF0"/>
    <w:rsid w:val="736D0298"/>
    <w:rsid w:val="7481786C"/>
    <w:rsid w:val="749E0487"/>
    <w:rsid w:val="74B84955"/>
    <w:rsid w:val="75755AB4"/>
    <w:rsid w:val="75913BF6"/>
    <w:rsid w:val="759E0B71"/>
    <w:rsid w:val="75DA5EA5"/>
    <w:rsid w:val="75FC66A1"/>
    <w:rsid w:val="77F02658"/>
    <w:rsid w:val="78104AA8"/>
    <w:rsid w:val="79667075"/>
    <w:rsid w:val="79EA737B"/>
    <w:rsid w:val="79EB757B"/>
    <w:rsid w:val="7A3E58FC"/>
    <w:rsid w:val="7AAD15F4"/>
    <w:rsid w:val="7ABC4DA9"/>
    <w:rsid w:val="7B0E5755"/>
    <w:rsid w:val="7B1623D5"/>
    <w:rsid w:val="7BE40725"/>
    <w:rsid w:val="7C156B31"/>
    <w:rsid w:val="7C9712F4"/>
    <w:rsid w:val="7D1B1F25"/>
    <w:rsid w:val="7DEC566F"/>
    <w:rsid w:val="7E3C65F7"/>
    <w:rsid w:val="7EDE320A"/>
    <w:rsid w:val="7F2A46A1"/>
    <w:rsid w:val="7F9D4E73"/>
    <w:rsid w:val="7FA81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79"/>
    <w:qFormat/>
    <w:uiPriority w:val="99"/>
    <w:pPr>
      <w:keepNext/>
      <w:keepLines/>
      <w:spacing w:before="340" w:after="330" w:line="576" w:lineRule="auto"/>
      <w:outlineLvl w:val="0"/>
    </w:pPr>
    <w:rPr>
      <w:b/>
      <w:kern w:val="44"/>
      <w:sz w:val="44"/>
    </w:rPr>
  </w:style>
  <w:style w:type="paragraph" w:styleId="4">
    <w:name w:val="heading 2"/>
    <w:basedOn w:val="1"/>
    <w:next w:val="1"/>
    <w:link w:val="103"/>
    <w:qFormat/>
    <w:uiPriority w:val="99"/>
    <w:pPr>
      <w:keepNext/>
      <w:keepLines/>
      <w:autoSpaceDE/>
      <w:autoSpaceDN/>
      <w:adjustRightInd/>
      <w:spacing w:before="260" w:after="260" w:line="413" w:lineRule="auto"/>
      <w:outlineLvl w:val="1"/>
    </w:pPr>
    <w:rPr>
      <w:rFonts w:ascii="Arial" w:hAnsi="Arial" w:eastAsia="黑体"/>
      <w:b/>
      <w:bCs/>
      <w:color w:val="auto"/>
      <w:kern w:val="2"/>
      <w:sz w:val="32"/>
      <w:szCs w:val="32"/>
    </w:rPr>
  </w:style>
  <w:style w:type="paragraph" w:styleId="5">
    <w:name w:val="heading 3"/>
    <w:basedOn w:val="1"/>
    <w:next w:val="1"/>
    <w:link w:val="104"/>
    <w:qFormat/>
    <w:uiPriority w:val="99"/>
    <w:pPr>
      <w:keepNext/>
      <w:keepLines/>
      <w:spacing w:before="260" w:after="260" w:line="413" w:lineRule="auto"/>
      <w:outlineLvl w:val="2"/>
    </w:pPr>
    <w:rPr>
      <w:b/>
      <w:bCs/>
      <w:sz w:val="32"/>
      <w:szCs w:val="32"/>
    </w:rPr>
  </w:style>
  <w:style w:type="paragraph" w:styleId="6">
    <w:name w:val="heading 4"/>
    <w:next w:val="1"/>
    <w:link w:val="195"/>
    <w:qFormat/>
    <w:uiPriority w:val="99"/>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7">
    <w:name w:val="heading 5"/>
    <w:basedOn w:val="1"/>
    <w:next w:val="1"/>
    <w:link w:val="196"/>
    <w:qFormat/>
    <w:uiPriority w:val="99"/>
    <w:pPr>
      <w:keepNext/>
      <w:keepLines/>
      <w:spacing w:before="280" w:after="290" w:line="372" w:lineRule="auto"/>
      <w:outlineLvl w:val="4"/>
    </w:pPr>
    <w:rPr>
      <w:b/>
      <w:bCs/>
      <w:kern w:val="2"/>
      <w:sz w:val="28"/>
      <w:szCs w:val="28"/>
    </w:rPr>
  </w:style>
  <w:style w:type="paragraph" w:styleId="8">
    <w:name w:val="heading 6"/>
    <w:basedOn w:val="1"/>
    <w:next w:val="9"/>
    <w:link w:val="155"/>
    <w:qFormat/>
    <w:uiPriority w:val="99"/>
    <w:pPr>
      <w:keepNext/>
      <w:numPr>
        <w:ilvl w:val="0"/>
        <w:numId w:val="1"/>
      </w:numPr>
      <w:tabs>
        <w:tab w:val="left" w:pos="-20"/>
        <w:tab w:val="clear" w:pos="1050"/>
      </w:tabs>
      <w:autoSpaceDE/>
      <w:autoSpaceDN/>
      <w:adjustRightInd/>
      <w:snapToGrid w:val="0"/>
      <w:spacing w:line="300" w:lineRule="auto"/>
      <w:ind w:left="480"/>
      <w:outlineLvl w:val="5"/>
    </w:pPr>
    <w:rPr>
      <w:rFonts w:ascii="宋体"/>
      <w:color w:val="auto"/>
      <w:kern w:val="2"/>
      <w:sz w:val="28"/>
      <w:szCs w:val="20"/>
    </w:rPr>
  </w:style>
  <w:style w:type="paragraph" w:styleId="10">
    <w:name w:val="heading 9"/>
    <w:basedOn w:val="1"/>
    <w:next w:val="1"/>
    <w:link w:val="156"/>
    <w:qFormat/>
    <w:uiPriority w:val="99"/>
    <w:pPr>
      <w:keepNext/>
      <w:numPr>
        <w:ilvl w:val="2"/>
        <w:numId w:val="2"/>
      </w:numPr>
      <w:autoSpaceDE/>
      <w:autoSpaceDN/>
      <w:adjustRightInd/>
      <w:outlineLvl w:val="8"/>
    </w:pPr>
    <w:rPr>
      <w:rFonts w:ascii="华文细黑" w:hAnsi="华文细黑" w:eastAsia="华文细黑"/>
      <w:color w:val="auto"/>
      <w:kern w:val="2"/>
      <w:sz w:val="28"/>
      <w:szCs w:val="24"/>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157"/>
    <w:unhideWhenUsed/>
    <w:qFormat/>
    <w:uiPriority w:val="99"/>
    <w:pPr>
      <w:autoSpaceDE/>
      <w:autoSpaceDN/>
      <w:adjustRightInd/>
      <w:spacing w:after="0"/>
      <w:ind w:firstLine="420" w:firstLineChars="100"/>
    </w:pPr>
    <w:rPr>
      <w:color w:val="auto"/>
      <w:kern w:val="2"/>
      <w:sz w:val="24"/>
      <w:szCs w:val="24"/>
    </w:rPr>
  </w:style>
  <w:style w:type="paragraph" w:styleId="9">
    <w:name w:val="Normal Indent"/>
    <w:basedOn w:val="1"/>
    <w:link w:val="93"/>
    <w:qFormat/>
    <w:uiPriority w:val="99"/>
    <w:pPr>
      <w:autoSpaceDE/>
      <w:autoSpaceDN/>
      <w:adjustRightInd/>
      <w:ind w:firstLine="420"/>
    </w:pPr>
    <w:rPr>
      <w:kern w:val="2"/>
    </w:rPr>
  </w:style>
  <w:style w:type="paragraph" w:styleId="11">
    <w:name w:val="toc 7"/>
    <w:basedOn w:val="1"/>
    <w:next w:val="1"/>
    <w:qFormat/>
    <w:uiPriority w:val="99"/>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2">
    <w:name w:val="List Number"/>
    <w:basedOn w:val="1"/>
    <w:qFormat/>
    <w:uiPriority w:val="0"/>
    <w:pPr>
      <w:widowControl/>
      <w:tabs>
        <w:tab w:val="left" w:pos="720"/>
      </w:tabs>
      <w:autoSpaceDE/>
      <w:autoSpaceDN/>
      <w:adjustRightInd/>
      <w:spacing w:afterLines="50"/>
      <w:ind w:left="360" w:hanging="360"/>
      <w:jc w:val="left"/>
    </w:pPr>
    <w:rPr>
      <w:color w:val="auto"/>
      <w:sz w:val="24"/>
      <w:szCs w:val="20"/>
    </w:rPr>
  </w:style>
  <w:style w:type="paragraph" w:styleId="13">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4">
    <w:name w:val="index 5"/>
    <w:basedOn w:val="1"/>
    <w:next w:val="1"/>
    <w:qFormat/>
    <w:uiPriority w:val="0"/>
    <w:pPr>
      <w:ind w:left="800" w:leftChars="800"/>
    </w:pPr>
  </w:style>
  <w:style w:type="paragraph" w:styleId="15">
    <w:name w:val="Document Map"/>
    <w:basedOn w:val="1"/>
    <w:link w:val="204"/>
    <w:qFormat/>
    <w:uiPriority w:val="99"/>
    <w:pPr>
      <w:shd w:val="clear" w:color="auto" w:fill="000080"/>
      <w:autoSpaceDE/>
      <w:autoSpaceDN/>
      <w:adjustRightInd/>
    </w:pPr>
    <w:rPr>
      <w:color w:val="auto"/>
      <w:kern w:val="2"/>
      <w:szCs w:val="24"/>
    </w:rPr>
  </w:style>
  <w:style w:type="paragraph" w:styleId="16">
    <w:name w:val="annotation text"/>
    <w:basedOn w:val="1"/>
    <w:link w:val="87"/>
    <w:qFormat/>
    <w:uiPriority w:val="99"/>
    <w:pPr>
      <w:autoSpaceDE/>
      <w:autoSpaceDN/>
      <w:adjustRightInd/>
      <w:spacing w:line="360" w:lineRule="auto"/>
      <w:ind w:firstLine="200" w:firstLineChars="200"/>
      <w:jc w:val="left"/>
    </w:pPr>
    <w:rPr>
      <w:color w:val="auto"/>
      <w:sz w:val="20"/>
      <w:szCs w:val="20"/>
    </w:rPr>
  </w:style>
  <w:style w:type="paragraph" w:styleId="17">
    <w:name w:val="Body Text 3"/>
    <w:basedOn w:val="1"/>
    <w:link w:val="158"/>
    <w:qFormat/>
    <w:uiPriority w:val="99"/>
    <w:pPr>
      <w:autoSpaceDE/>
      <w:autoSpaceDN/>
      <w:adjustRightInd/>
    </w:pPr>
    <w:rPr>
      <w:color w:val="999999"/>
      <w:kern w:val="2"/>
      <w:szCs w:val="24"/>
    </w:rPr>
  </w:style>
  <w:style w:type="paragraph" w:styleId="18">
    <w:name w:val="Body Text"/>
    <w:basedOn w:val="1"/>
    <w:next w:val="2"/>
    <w:link w:val="64"/>
    <w:qFormat/>
    <w:uiPriority w:val="99"/>
    <w:pPr>
      <w:spacing w:after="120"/>
    </w:pPr>
  </w:style>
  <w:style w:type="paragraph" w:styleId="19">
    <w:name w:val="Body Text Indent"/>
    <w:basedOn w:val="1"/>
    <w:link w:val="76"/>
    <w:qFormat/>
    <w:uiPriority w:val="99"/>
    <w:pPr>
      <w:spacing w:after="120"/>
      <w:ind w:left="420" w:leftChars="200"/>
    </w:pPr>
  </w:style>
  <w:style w:type="paragraph" w:styleId="20">
    <w:name w:val="List Number 3"/>
    <w:basedOn w:val="1"/>
    <w:qFormat/>
    <w:uiPriority w:val="0"/>
    <w:pPr>
      <w:tabs>
        <w:tab w:val="left" w:pos="1200"/>
      </w:tabs>
      <w:ind w:left="1200" w:hanging="360"/>
    </w:pPr>
  </w:style>
  <w:style w:type="paragraph" w:styleId="21">
    <w:name w:val="toc 5"/>
    <w:basedOn w:val="1"/>
    <w:next w:val="1"/>
    <w:qFormat/>
    <w:uiPriority w:val="99"/>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2">
    <w:name w:val="toc 3"/>
    <w:basedOn w:val="1"/>
    <w:next w:val="1"/>
    <w:qFormat/>
    <w:uiPriority w:val="99"/>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3">
    <w:name w:val="Plain Text"/>
    <w:basedOn w:val="1"/>
    <w:link w:val="72"/>
    <w:qFormat/>
    <w:uiPriority w:val="99"/>
    <w:pPr>
      <w:autoSpaceDE/>
      <w:autoSpaceDN/>
      <w:adjustRightInd/>
    </w:pPr>
    <w:rPr>
      <w:kern w:val="2"/>
      <w:sz w:val="24"/>
    </w:rPr>
  </w:style>
  <w:style w:type="paragraph" w:styleId="24">
    <w:name w:val="toc 8"/>
    <w:basedOn w:val="1"/>
    <w:next w:val="1"/>
    <w:qFormat/>
    <w:uiPriority w:val="99"/>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5">
    <w:name w:val="Date"/>
    <w:basedOn w:val="1"/>
    <w:next w:val="1"/>
    <w:link w:val="107"/>
    <w:qFormat/>
    <w:uiPriority w:val="99"/>
    <w:pPr>
      <w:ind w:left="100" w:leftChars="2500"/>
    </w:pPr>
  </w:style>
  <w:style w:type="paragraph" w:styleId="26">
    <w:name w:val="Body Text Indent 2"/>
    <w:basedOn w:val="1"/>
    <w:link w:val="162"/>
    <w:qFormat/>
    <w:uiPriority w:val="99"/>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27">
    <w:name w:val="Balloon Text"/>
    <w:basedOn w:val="1"/>
    <w:link w:val="75"/>
    <w:qFormat/>
    <w:uiPriority w:val="99"/>
    <w:pPr>
      <w:autoSpaceDE/>
      <w:autoSpaceDN/>
      <w:adjustRightInd/>
    </w:pPr>
    <w:rPr>
      <w:color w:val="auto"/>
      <w:kern w:val="2"/>
      <w:sz w:val="18"/>
      <w:szCs w:val="18"/>
    </w:rPr>
  </w:style>
  <w:style w:type="paragraph" w:styleId="28">
    <w:name w:val="footer"/>
    <w:basedOn w:val="1"/>
    <w:link w:val="92"/>
    <w:qFormat/>
    <w:uiPriority w:val="99"/>
    <w:pPr>
      <w:tabs>
        <w:tab w:val="center" w:pos="4153"/>
        <w:tab w:val="right" w:pos="8306"/>
      </w:tabs>
      <w:snapToGrid w:val="0"/>
      <w:jc w:val="left"/>
    </w:pPr>
    <w:rPr>
      <w:sz w:val="18"/>
      <w:szCs w:val="18"/>
    </w:rPr>
  </w:style>
  <w:style w:type="paragraph" w:styleId="29">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next w:val="1"/>
    <w:link w:val="77"/>
    <w:qFormat/>
    <w:uiPriority w:val="0"/>
    <w:pPr>
      <w:keepNext/>
      <w:widowControl/>
      <w:tabs>
        <w:tab w:val="left" w:pos="1620"/>
      </w:tabs>
      <w:autoSpaceDE/>
      <w:autoSpaceDN/>
      <w:spacing w:line="220" w:lineRule="atLeast"/>
      <w:ind w:left="1620" w:hanging="1200"/>
      <w:jc w:val="right"/>
      <w:textAlignment w:val="baseline"/>
    </w:pPr>
    <w:rPr>
      <w:rFonts w:ascii="Arial" w:hAnsi="Arial"/>
      <w:spacing w:val="-5"/>
      <w:sz w:val="24"/>
    </w:rPr>
  </w:style>
  <w:style w:type="paragraph" w:styleId="31">
    <w:name w:val="toc 1"/>
    <w:basedOn w:val="1"/>
    <w:next w:val="1"/>
    <w:qFormat/>
    <w:uiPriority w:val="39"/>
    <w:pPr>
      <w:spacing w:line="360" w:lineRule="auto"/>
    </w:pPr>
    <w:rPr>
      <w:rFonts w:eastAsia="黑体"/>
      <w:sz w:val="24"/>
    </w:rPr>
  </w:style>
  <w:style w:type="paragraph" w:styleId="32">
    <w:name w:val="toc 4"/>
    <w:basedOn w:val="1"/>
    <w:next w:val="1"/>
    <w:qFormat/>
    <w:uiPriority w:val="99"/>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3">
    <w:name w:val="index heading"/>
    <w:basedOn w:val="1"/>
    <w:next w:val="34"/>
    <w:qFormat/>
    <w:uiPriority w:val="99"/>
    <w:pPr>
      <w:autoSpaceDE/>
      <w:autoSpaceDN/>
      <w:adjustRightInd/>
    </w:pPr>
    <w:rPr>
      <w:rFonts w:ascii="Arial" w:hAnsi="Arial" w:cs="Arial"/>
      <w:b/>
      <w:bCs/>
      <w:color w:val="auto"/>
      <w:kern w:val="2"/>
      <w:szCs w:val="24"/>
    </w:rPr>
  </w:style>
  <w:style w:type="paragraph" w:styleId="34">
    <w:name w:val="index 1"/>
    <w:basedOn w:val="1"/>
    <w:next w:val="1"/>
    <w:qFormat/>
    <w:uiPriority w:val="99"/>
  </w:style>
  <w:style w:type="paragraph" w:styleId="35">
    <w:name w:val="toc 6"/>
    <w:basedOn w:val="1"/>
    <w:next w:val="1"/>
    <w:qFormat/>
    <w:uiPriority w:val="99"/>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6">
    <w:name w:val="Body Text Indent 3"/>
    <w:basedOn w:val="1"/>
    <w:link w:val="110"/>
    <w:qFormat/>
    <w:uiPriority w:val="99"/>
    <w:pPr>
      <w:autoSpaceDE/>
      <w:autoSpaceDN/>
      <w:adjustRightInd/>
      <w:ind w:firstLine="435"/>
    </w:pPr>
    <w:rPr>
      <w:kern w:val="2"/>
      <w:szCs w:val="24"/>
    </w:rPr>
  </w:style>
  <w:style w:type="paragraph" w:styleId="37">
    <w:name w:val="index 7"/>
    <w:basedOn w:val="1"/>
    <w:next w:val="1"/>
    <w:qFormat/>
    <w:uiPriority w:val="0"/>
    <w:pPr>
      <w:autoSpaceDE/>
      <w:autoSpaceDN/>
      <w:adjustRightInd/>
      <w:ind w:left="1200" w:leftChars="1200"/>
    </w:pPr>
    <w:rPr>
      <w:color w:val="auto"/>
      <w:kern w:val="2"/>
      <w:szCs w:val="24"/>
    </w:rPr>
  </w:style>
  <w:style w:type="paragraph" w:styleId="38">
    <w:name w:val="toc 2"/>
    <w:basedOn w:val="1"/>
    <w:next w:val="1"/>
    <w:qFormat/>
    <w:uiPriority w:val="99"/>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39">
    <w:name w:val="toc 9"/>
    <w:basedOn w:val="1"/>
    <w:next w:val="1"/>
    <w:qFormat/>
    <w:uiPriority w:val="99"/>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0">
    <w:name w:val="Body Text 2"/>
    <w:basedOn w:val="1"/>
    <w:link w:val="159"/>
    <w:qFormat/>
    <w:uiPriority w:val="99"/>
    <w:pPr>
      <w:numPr>
        <w:ilvl w:val="0"/>
        <w:numId w:val="3"/>
      </w:numPr>
      <w:autoSpaceDE/>
      <w:autoSpaceDN/>
      <w:adjustRightInd/>
      <w:spacing w:after="120" w:line="360" w:lineRule="auto"/>
    </w:pPr>
    <w:rPr>
      <w:color w:val="auto"/>
      <w:kern w:val="2"/>
      <w:sz w:val="24"/>
      <w:szCs w:val="20"/>
    </w:rPr>
  </w:style>
  <w:style w:type="paragraph" w:styleId="41">
    <w:name w:val="HTML Preformatted"/>
    <w:basedOn w:val="1"/>
    <w:link w:val="78"/>
    <w:qFormat/>
    <w:uiPriority w:val="0"/>
    <w:pPr>
      <w:autoSpaceDE/>
      <w:autoSpaceDN/>
      <w:adjustRightInd/>
    </w:pPr>
    <w:rPr>
      <w:rFonts w:ascii="Arial Unicode MS" w:hAnsi="Arial Unicode MS" w:eastAsia="Arial Unicode MS"/>
    </w:rPr>
  </w:style>
  <w:style w:type="paragraph" w:styleId="42">
    <w:name w:val="Normal (Web)"/>
    <w:basedOn w:val="1"/>
    <w:link w:val="102"/>
    <w:qFormat/>
    <w:uiPriority w:val="99"/>
    <w:pPr>
      <w:widowControl/>
      <w:autoSpaceDE/>
      <w:autoSpaceDN/>
      <w:adjustRightInd/>
      <w:spacing w:before="100" w:beforeAutospacing="1" w:after="100" w:afterAutospacing="1"/>
      <w:jc w:val="left"/>
    </w:pPr>
    <w:rPr>
      <w:rFonts w:ascii="宋体" w:hAnsi="宋体"/>
      <w:sz w:val="24"/>
      <w:szCs w:val="24"/>
    </w:rPr>
  </w:style>
  <w:style w:type="paragraph" w:styleId="43">
    <w:name w:val="Title"/>
    <w:basedOn w:val="1"/>
    <w:next w:val="1"/>
    <w:link w:val="210"/>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209"/>
    <w:qFormat/>
    <w:uiPriority w:val="0"/>
    <w:pPr>
      <w:spacing w:line="240" w:lineRule="auto"/>
      <w:ind w:firstLine="0" w:firstLineChars="0"/>
    </w:pPr>
    <w:rPr>
      <w:b/>
      <w:bCs/>
      <w:kern w:val="2"/>
      <w:sz w:val="21"/>
      <w:szCs w:val="24"/>
    </w:rPr>
  </w:style>
  <w:style w:type="paragraph" w:styleId="45">
    <w:name w:val="Body Text First Indent 2"/>
    <w:basedOn w:val="19"/>
    <w:link w:val="21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99"/>
    <w:rPr>
      <w:b/>
      <w:bCs/>
    </w:rPr>
  </w:style>
  <w:style w:type="character" w:styleId="50">
    <w:name w:val="page number"/>
    <w:basedOn w:val="48"/>
    <w:qFormat/>
    <w:uiPriority w:val="99"/>
  </w:style>
  <w:style w:type="character" w:styleId="51">
    <w:name w:val="FollowedHyperlink"/>
    <w:basedOn w:val="48"/>
    <w:qFormat/>
    <w:uiPriority w:val="0"/>
    <w:rPr>
      <w:rFonts w:ascii="Tahoma" w:hAnsi="Tahoma" w:eastAsia="宋体" w:cs="Times New Roman"/>
      <w:color w:val="555555"/>
      <w:kern w:val="2"/>
      <w:sz w:val="24"/>
      <w:szCs w:val="20"/>
      <w:u w:val="none"/>
    </w:rPr>
  </w:style>
  <w:style w:type="character" w:styleId="52">
    <w:name w:val="Emphasis"/>
    <w:qFormat/>
    <w:uiPriority w:val="0"/>
    <w:rPr>
      <w:color w:val="CC0000"/>
    </w:rPr>
  </w:style>
  <w:style w:type="character" w:styleId="53">
    <w:name w:val="HTML Definition"/>
    <w:basedOn w:val="48"/>
    <w:qFormat/>
    <w:uiPriority w:val="0"/>
    <w:rPr>
      <w:rFonts w:ascii="Tahoma" w:hAnsi="Tahoma" w:eastAsia="宋体" w:cs="Times New Roman"/>
      <w:color w:val="auto"/>
      <w:kern w:val="2"/>
      <w:sz w:val="24"/>
      <w:szCs w:val="20"/>
    </w:rPr>
  </w:style>
  <w:style w:type="character" w:styleId="54">
    <w:name w:val="HTML Typewriter"/>
    <w:basedOn w:val="48"/>
    <w:qFormat/>
    <w:uiPriority w:val="0"/>
    <w:rPr>
      <w:rFonts w:ascii="monospace" w:hAnsi="monospace" w:eastAsia="monospace" w:cs="monospace"/>
      <w:color w:val="auto"/>
      <w:kern w:val="2"/>
      <w:sz w:val="20"/>
      <w:szCs w:val="20"/>
    </w:rPr>
  </w:style>
  <w:style w:type="character" w:styleId="55">
    <w:name w:val="HTML Acronym"/>
    <w:basedOn w:val="48"/>
    <w:qFormat/>
    <w:uiPriority w:val="0"/>
    <w:rPr>
      <w:rFonts w:ascii="Tahoma" w:hAnsi="Tahoma" w:eastAsia="宋体" w:cs="Times New Roman"/>
      <w:color w:val="auto"/>
      <w:kern w:val="2"/>
      <w:sz w:val="24"/>
      <w:szCs w:val="20"/>
    </w:rPr>
  </w:style>
  <w:style w:type="character" w:styleId="56">
    <w:name w:val="HTML Variable"/>
    <w:basedOn w:val="48"/>
    <w:qFormat/>
    <w:uiPriority w:val="0"/>
    <w:rPr>
      <w:rFonts w:ascii="Tahoma" w:hAnsi="Tahoma" w:eastAsia="宋体" w:cs="Times New Roman"/>
      <w:color w:val="auto"/>
      <w:kern w:val="2"/>
      <w:sz w:val="24"/>
      <w:szCs w:val="20"/>
    </w:rPr>
  </w:style>
  <w:style w:type="character" w:styleId="57">
    <w:name w:val="Hyperlink"/>
    <w:basedOn w:val="48"/>
    <w:qFormat/>
    <w:uiPriority w:val="99"/>
    <w:rPr>
      <w:color w:val="0000FF"/>
      <w:u w:val="single"/>
    </w:rPr>
  </w:style>
  <w:style w:type="character" w:styleId="58">
    <w:name w:val="HTML Code"/>
    <w:basedOn w:val="48"/>
    <w:qFormat/>
    <w:uiPriority w:val="0"/>
    <w:rPr>
      <w:rFonts w:hint="default" w:ascii="monospace" w:hAnsi="monospace" w:eastAsia="monospace" w:cs="monospace"/>
      <w:color w:val="auto"/>
      <w:kern w:val="2"/>
      <w:sz w:val="20"/>
      <w:szCs w:val="20"/>
    </w:rPr>
  </w:style>
  <w:style w:type="character" w:styleId="59">
    <w:name w:val="annotation reference"/>
    <w:qFormat/>
    <w:uiPriority w:val="0"/>
    <w:rPr>
      <w:sz w:val="21"/>
      <w:szCs w:val="21"/>
    </w:rPr>
  </w:style>
  <w:style w:type="character" w:styleId="60">
    <w:name w:val="HTML Cite"/>
    <w:basedOn w:val="48"/>
    <w:qFormat/>
    <w:uiPriority w:val="0"/>
    <w:rPr>
      <w:rFonts w:ascii="Tahoma" w:hAnsi="Tahoma" w:eastAsia="宋体" w:cs="Times New Roman"/>
      <w:color w:val="auto"/>
      <w:kern w:val="2"/>
      <w:sz w:val="24"/>
      <w:szCs w:val="20"/>
    </w:rPr>
  </w:style>
  <w:style w:type="character" w:styleId="61">
    <w:name w:val="HTML Keyboard"/>
    <w:basedOn w:val="48"/>
    <w:qFormat/>
    <w:uiPriority w:val="0"/>
    <w:rPr>
      <w:rFonts w:hint="default" w:ascii="monospace" w:hAnsi="monospace" w:eastAsia="monospace" w:cs="monospace"/>
      <w:color w:val="auto"/>
      <w:kern w:val="2"/>
      <w:sz w:val="20"/>
      <w:szCs w:val="20"/>
    </w:rPr>
  </w:style>
  <w:style w:type="character" w:styleId="62">
    <w:name w:val="HTML Sample"/>
    <w:basedOn w:val="48"/>
    <w:qFormat/>
    <w:uiPriority w:val="0"/>
    <w:rPr>
      <w:rFonts w:hint="default" w:ascii="monospace" w:hAnsi="monospace" w:eastAsia="monospace" w:cs="monospace"/>
      <w:color w:val="auto"/>
      <w:kern w:val="2"/>
      <w:sz w:val="24"/>
      <w:szCs w:val="20"/>
    </w:rPr>
  </w:style>
  <w:style w:type="character" w:customStyle="1" w:styleId="63">
    <w:name w:val="Char Char11"/>
    <w:basedOn w:val="48"/>
    <w:qFormat/>
    <w:uiPriority w:val="0"/>
    <w:rPr>
      <w:rFonts w:ascii="Arial" w:hAnsi="Arial" w:eastAsia="黑体"/>
      <w:b/>
      <w:kern w:val="2"/>
      <w:sz w:val="32"/>
      <w:szCs w:val="32"/>
      <w:lang w:val="en-US" w:eastAsia="zh-CN" w:bidi="ar-SA"/>
    </w:rPr>
  </w:style>
  <w:style w:type="character" w:customStyle="1" w:styleId="64">
    <w:name w:val="正文文本 Char"/>
    <w:basedOn w:val="48"/>
    <w:link w:val="18"/>
    <w:qFormat/>
    <w:uiPriority w:val="99"/>
    <w:rPr>
      <w:color w:val="000000"/>
      <w:sz w:val="21"/>
      <w:szCs w:val="21"/>
    </w:rPr>
  </w:style>
  <w:style w:type="character" w:customStyle="1" w:styleId="65">
    <w:name w:val="jtz2 Char"/>
    <w:qFormat/>
    <w:uiPriority w:val="0"/>
    <w:rPr>
      <w:rFonts w:ascii="Arial" w:hAnsi="Arial" w:eastAsia="宋体"/>
      <w:b/>
      <w:bCs/>
      <w:kern w:val="2"/>
      <w:sz w:val="30"/>
      <w:szCs w:val="32"/>
      <w:lang w:val="en-US" w:eastAsia="zh-CN" w:bidi="ar-SA"/>
    </w:rPr>
  </w:style>
  <w:style w:type="character" w:customStyle="1" w:styleId="66">
    <w:name w:val="01 正文样式 Char"/>
    <w:link w:val="67"/>
    <w:qFormat/>
    <w:uiPriority w:val="0"/>
    <w:rPr>
      <w:kern w:val="2"/>
      <w:sz w:val="24"/>
      <w:lang w:bidi="ar-SA"/>
    </w:rPr>
  </w:style>
  <w:style w:type="paragraph" w:customStyle="1" w:styleId="67">
    <w:name w:val="01 正文样式"/>
    <w:basedOn w:val="1"/>
    <w:link w:val="66"/>
    <w:qFormat/>
    <w:uiPriority w:val="0"/>
    <w:pPr>
      <w:autoSpaceDE/>
      <w:autoSpaceDN/>
      <w:adjustRightInd/>
      <w:spacing w:line="560" w:lineRule="exact"/>
      <w:ind w:firstLine="480" w:firstLineChars="200"/>
    </w:pPr>
    <w:rPr>
      <w:color w:val="auto"/>
      <w:kern w:val="2"/>
      <w:sz w:val="24"/>
      <w:szCs w:val="20"/>
    </w:rPr>
  </w:style>
  <w:style w:type="character" w:customStyle="1" w:styleId="68">
    <w:name w:val="jtz3 Char"/>
    <w:qFormat/>
    <w:uiPriority w:val="0"/>
    <w:rPr>
      <w:rFonts w:eastAsia="宋体"/>
      <w:b/>
      <w:bCs/>
      <w:kern w:val="2"/>
      <w:sz w:val="28"/>
      <w:szCs w:val="32"/>
      <w:lang w:val="en-US" w:eastAsia="zh-CN" w:bidi="ar-SA"/>
    </w:rPr>
  </w:style>
  <w:style w:type="character" w:customStyle="1" w:styleId="69">
    <w:name w:val="正文 1.5 倍行距 Char"/>
    <w:link w:val="70"/>
    <w:qFormat/>
    <w:uiPriority w:val="0"/>
    <w:rPr>
      <w:rFonts w:eastAsia="宋体"/>
      <w:sz w:val="24"/>
      <w:lang w:bidi="ar-SA"/>
    </w:rPr>
  </w:style>
  <w:style w:type="paragraph" w:customStyle="1" w:styleId="70">
    <w:name w:val="正文 1.5 倍行距"/>
    <w:basedOn w:val="1"/>
    <w:link w:val="69"/>
    <w:qFormat/>
    <w:uiPriority w:val="0"/>
    <w:pPr>
      <w:spacing w:line="360" w:lineRule="auto"/>
      <w:ind w:firstLine="480" w:firstLineChars="200"/>
      <w:textAlignment w:val="baseline"/>
    </w:pPr>
    <w:rPr>
      <w:color w:val="auto"/>
      <w:sz w:val="24"/>
      <w:szCs w:val="20"/>
    </w:rPr>
  </w:style>
  <w:style w:type="character" w:customStyle="1" w:styleId="71">
    <w:name w:val="font31"/>
    <w:qFormat/>
    <w:uiPriority w:val="0"/>
    <w:rPr>
      <w:rFonts w:hint="eastAsia" w:ascii="宋体" w:hAnsi="宋体" w:eastAsia="宋体" w:cs="宋体"/>
      <w:color w:val="000000"/>
      <w:kern w:val="2"/>
      <w:sz w:val="20"/>
      <w:szCs w:val="20"/>
      <w:u w:val="none"/>
    </w:rPr>
  </w:style>
  <w:style w:type="character" w:customStyle="1" w:styleId="72">
    <w:name w:val="纯文本 Char"/>
    <w:basedOn w:val="48"/>
    <w:link w:val="23"/>
    <w:qFormat/>
    <w:uiPriority w:val="99"/>
    <w:rPr>
      <w:rFonts w:eastAsia="宋体"/>
      <w:kern w:val="2"/>
      <w:sz w:val="24"/>
      <w:lang w:val="en-US" w:eastAsia="zh-CN" w:bidi="ar-SA"/>
    </w:rPr>
  </w:style>
  <w:style w:type="character" w:customStyle="1" w:styleId="73">
    <w:name w:val="jtz2 Char1"/>
    <w:qFormat/>
    <w:uiPriority w:val="0"/>
    <w:rPr>
      <w:rFonts w:ascii="Cambria" w:hAnsi="Cambria" w:eastAsia="宋体"/>
      <w:b/>
      <w:bCs/>
      <w:kern w:val="2"/>
      <w:sz w:val="30"/>
      <w:szCs w:val="32"/>
      <w:lang w:val="en-US" w:eastAsia="zh-CN" w:bidi="ar-SA"/>
    </w:rPr>
  </w:style>
  <w:style w:type="character" w:customStyle="1" w:styleId="74">
    <w:name w:val="15"/>
    <w:basedOn w:val="48"/>
    <w:qFormat/>
    <w:uiPriority w:val="0"/>
    <w:rPr>
      <w:rFonts w:hint="default" w:ascii="Lucida Sans" w:hAnsi="Lucida Sans"/>
    </w:rPr>
  </w:style>
  <w:style w:type="character" w:customStyle="1" w:styleId="75">
    <w:name w:val="批注框文本 Char"/>
    <w:basedOn w:val="48"/>
    <w:link w:val="27"/>
    <w:qFormat/>
    <w:uiPriority w:val="99"/>
    <w:rPr>
      <w:kern w:val="2"/>
      <w:sz w:val="18"/>
      <w:szCs w:val="18"/>
    </w:rPr>
  </w:style>
  <w:style w:type="character" w:customStyle="1" w:styleId="76">
    <w:name w:val="正文文本缩进 Char"/>
    <w:basedOn w:val="48"/>
    <w:link w:val="19"/>
    <w:qFormat/>
    <w:uiPriority w:val="99"/>
    <w:rPr>
      <w:rFonts w:eastAsia="宋体"/>
      <w:color w:val="000000"/>
      <w:sz w:val="21"/>
      <w:szCs w:val="21"/>
      <w:lang w:val="en-US" w:eastAsia="zh-CN" w:bidi="ar-SA"/>
    </w:rPr>
  </w:style>
  <w:style w:type="character" w:customStyle="1" w:styleId="77">
    <w:name w:val="签名 Char"/>
    <w:basedOn w:val="48"/>
    <w:link w:val="30"/>
    <w:qFormat/>
    <w:uiPriority w:val="0"/>
    <w:rPr>
      <w:rFonts w:ascii="Arial" w:hAnsi="Arial"/>
      <w:color w:val="000000"/>
      <w:spacing w:val="-5"/>
      <w:sz w:val="24"/>
      <w:szCs w:val="21"/>
    </w:rPr>
  </w:style>
  <w:style w:type="character" w:customStyle="1" w:styleId="78">
    <w:name w:val="HTML 预设格式 Char"/>
    <w:basedOn w:val="48"/>
    <w:link w:val="41"/>
    <w:qFormat/>
    <w:uiPriority w:val="0"/>
    <w:rPr>
      <w:rFonts w:ascii="Arial Unicode MS" w:hAnsi="Arial Unicode MS" w:eastAsia="Arial Unicode MS"/>
      <w:lang w:bidi="ar-SA"/>
    </w:rPr>
  </w:style>
  <w:style w:type="character" w:customStyle="1" w:styleId="79">
    <w:name w:val="标题 1 Char"/>
    <w:basedOn w:val="48"/>
    <w:link w:val="3"/>
    <w:qFormat/>
    <w:uiPriority w:val="99"/>
    <w:rPr>
      <w:rFonts w:eastAsia="宋体"/>
      <w:b/>
      <w:color w:val="000000"/>
      <w:kern w:val="44"/>
      <w:sz w:val="44"/>
      <w:szCs w:val="21"/>
      <w:lang w:val="en-US" w:eastAsia="zh-CN" w:bidi="ar-SA"/>
    </w:rPr>
  </w:style>
  <w:style w:type="character" w:customStyle="1" w:styleId="80">
    <w:name w:val="param-name"/>
    <w:qFormat/>
    <w:uiPriority w:val="0"/>
  </w:style>
  <w:style w:type="character" w:customStyle="1" w:styleId="81">
    <w:name w:val="Char Char13"/>
    <w:qFormat/>
    <w:uiPriority w:val="0"/>
    <w:rPr>
      <w:rFonts w:eastAsia="宋体"/>
      <w:b/>
      <w:bCs/>
      <w:kern w:val="44"/>
      <w:sz w:val="44"/>
      <w:szCs w:val="44"/>
      <w:lang w:val="en-US" w:eastAsia="zh-CN" w:bidi="ar-SA"/>
    </w:rPr>
  </w:style>
  <w:style w:type="character" w:customStyle="1" w:styleId="82">
    <w:name w:val="正文文本缩进 2 Char1"/>
    <w:qFormat/>
    <w:uiPriority w:val="0"/>
    <w:rPr>
      <w:kern w:val="2"/>
      <w:sz w:val="21"/>
      <w:szCs w:val="24"/>
    </w:rPr>
  </w:style>
  <w:style w:type="character" w:customStyle="1" w:styleId="83">
    <w:name w:val="font91"/>
    <w:qFormat/>
    <w:uiPriority w:val="0"/>
    <w:rPr>
      <w:rFonts w:hint="eastAsia" w:ascii="宋体" w:hAnsi="宋体" w:eastAsia="宋体" w:cs="宋体"/>
      <w:color w:val="000000"/>
      <w:sz w:val="20"/>
      <w:szCs w:val="20"/>
      <w:u w:val="none"/>
    </w:rPr>
  </w:style>
  <w:style w:type="character" w:customStyle="1" w:styleId="84">
    <w:name w:val="明显强调1"/>
    <w:qFormat/>
    <w:uiPriority w:val="0"/>
    <w:rPr>
      <w:rFonts w:ascii="Times New Roman" w:hAnsi="Times New Roman" w:eastAsia="宋体" w:cs="Times New Roman"/>
      <w:b/>
      <w:bCs/>
      <w:i/>
      <w:iCs/>
      <w:color w:val="4F81BD"/>
    </w:rPr>
  </w:style>
  <w:style w:type="character" w:customStyle="1" w:styleId="85">
    <w:name w:val="页眉 Char"/>
    <w:basedOn w:val="48"/>
    <w:link w:val="29"/>
    <w:qFormat/>
    <w:uiPriority w:val="99"/>
    <w:rPr>
      <w:rFonts w:eastAsia="宋体"/>
      <w:color w:val="000000"/>
      <w:sz w:val="18"/>
      <w:szCs w:val="18"/>
      <w:lang w:val="en-US" w:eastAsia="zh-CN" w:bidi="ar-SA"/>
    </w:rPr>
  </w:style>
  <w:style w:type="character" w:customStyle="1" w:styleId="86">
    <w:name w:val="apple-style-span"/>
    <w:qFormat/>
    <w:uiPriority w:val="0"/>
    <w:rPr>
      <w:rFonts w:ascii="Times New Roman" w:hAnsi="Times New Roman" w:eastAsia="宋体" w:cs="Times New Roman"/>
    </w:rPr>
  </w:style>
  <w:style w:type="character" w:customStyle="1" w:styleId="87">
    <w:name w:val="批注文字 Char"/>
    <w:basedOn w:val="48"/>
    <w:link w:val="16"/>
    <w:qFormat/>
    <w:uiPriority w:val="99"/>
  </w:style>
  <w:style w:type="character" w:customStyle="1" w:styleId="88">
    <w:name w:val="正文文字2 Char"/>
    <w:link w:val="89"/>
    <w:qFormat/>
    <w:uiPriority w:val="0"/>
    <w:rPr>
      <w:rFonts w:ascii="Arial" w:eastAsia="黑体"/>
      <w:sz w:val="21"/>
      <w:lang w:val="en-US" w:eastAsia="zh-CN" w:bidi="ar-SA"/>
    </w:rPr>
  </w:style>
  <w:style w:type="paragraph" w:customStyle="1" w:styleId="89">
    <w:name w:val="正文文字2"/>
    <w:basedOn w:val="18"/>
    <w:link w:val="88"/>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90">
    <w:name w:val="Char Char3"/>
    <w:basedOn w:val="48"/>
    <w:qFormat/>
    <w:uiPriority w:val="0"/>
    <w:rPr>
      <w:rFonts w:ascii="宋体" w:hAnsi="Courier New" w:eastAsia="宋体"/>
      <w:sz w:val="24"/>
      <w:szCs w:val="24"/>
      <w:lang w:bidi="ar-SA"/>
    </w:rPr>
  </w:style>
  <w:style w:type="character" w:customStyle="1" w:styleId="91">
    <w:name w:val="font41"/>
    <w:qFormat/>
    <w:uiPriority w:val="0"/>
    <w:rPr>
      <w:rFonts w:hint="eastAsia" w:ascii="宋体" w:hAnsi="宋体" w:eastAsia="宋体" w:cs="宋体"/>
      <w:color w:val="000000"/>
      <w:kern w:val="2"/>
      <w:sz w:val="20"/>
      <w:szCs w:val="20"/>
      <w:u w:val="none"/>
    </w:rPr>
  </w:style>
  <w:style w:type="character" w:customStyle="1" w:styleId="92">
    <w:name w:val="页脚 Char"/>
    <w:basedOn w:val="48"/>
    <w:link w:val="28"/>
    <w:qFormat/>
    <w:uiPriority w:val="99"/>
    <w:rPr>
      <w:rFonts w:eastAsia="宋体"/>
      <w:color w:val="000000"/>
      <w:sz w:val="18"/>
      <w:szCs w:val="18"/>
      <w:lang w:val="en-US" w:eastAsia="zh-CN" w:bidi="ar-SA"/>
    </w:rPr>
  </w:style>
  <w:style w:type="character" w:customStyle="1" w:styleId="93">
    <w:name w:val="正文缩进 Char"/>
    <w:basedOn w:val="48"/>
    <w:link w:val="9"/>
    <w:qFormat/>
    <w:uiPriority w:val="0"/>
    <w:rPr>
      <w:rFonts w:eastAsia="宋体"/>
      <w:kern w:val="2"/>
      <w:sz w:val="21"/>
      <w:lang w:val="en-US" w:eastAsia="zh-CN" w:bidi="ar-SA"/>
    </w:rPr>
  </w:style>
  <w:style w:type="character" w:customStyle="1" w:styleId="94">
    <w:name w:val="Char Char17"/>
    <w:qFormat/>
    <w:uiPriority w:val="0"/>
    <w:rPr>
      <w:rFonts w:ascii="Calibri" w:hAnsi="Calibri" w:eastAsia="宋体" w:cs="Times New Roman"/>
    </w:rPr>
  </w:style>
  <w:style w:type="character" w:customStyle="1" w:styleId="95">
    <w:name w:val="列出段落 Char"/>
    <w:link w:val="96"/>
    <w:qFormat/>
    <w:uiPriority w:val="0"/>
    <w:rPr>
      <w:rFonts w:ascii="Calibri" w:hAnsi="Calibri" w:eastAsia="宋体"/>
      <w:kern w:val="2"/>
      <w:sz w:val="21"/>
      <w:szCs w:val="22"/>
      <w:lang w:val="en-US" w:eastAsia="zh-CN" w:bidi="ar-SA"/>
    </w:rPr>
  </w:style>
  <w:style w:type="paragraph" w:styleId="96">
    <w:name w:val="List Paragraph"/>
    <w:basedOn w:val="1"/>
    <w:link w:val="95"/>
    <w:qFormat/>
    <w:uiPriority w:val="99"/>
    <w:pPr>
      <w:autoSpaceDE/>
      <w:autoSpaceDN/>
      <w:adjustRightInd/>
      <w:ind w:firstLine="420" w:firstLineChars="200"/>
    </w:pPr>
    <w:rPr>
      <w:rFonts w:ascii="Calibri" w:hAnsi="Calibri"/>
      <w:color w:val="auto"/>
      <w:kern w:val="2"/>
      <w:szCs w:val="22"/>
    </w:rPr>
  </w:style>
  <w:style w:type="character" w:customStyle="1" w:styleId="97">
    <w:name w:val="font01"/>
    <w:basedOn w:val="48"/>
    <w:qFormat/>
    <w:uiPriority w:val="0"/>
    <w:rPr>
      <w:rFonts w:hint="eastAsia" w:ascii="宋体" w:hAnsi="宋体" w:eastAsia="宋体" w:cs="宋体"/>
      <w:color w:val="000000"/>
      <w:sz w:val="24"/>
      <w:szCs w:val="24"/>
    </w:rPr>
  </w:style>
  <w:style w:type="character" w:customStyle="1" w:styleId="98">
    <w:name w:val="p0 Char"/>
    <w:link w:val="99"/>
    <w:qFormat/>
    <w:uiPriority w:val="0"/>
    <w:rPr>
      <w:sz w:val="21"/>
      <w:szCs w:val="21"/>
      <w:lang w:val="en-US" w:eastAsia="zh-CN" w:bidi="ar-SA"/>
    </w:rPr>
  </w:style>
  <w:style w:type="paragraph" w:customStyle="1" w:styleId="99">
    <w:name w:val="p0"/>
    <w:next w:val="37"/>
    <w:link w:val="98"/>
    <w:qFormat/>
    <w:uiPriority w:val="0"/>
    <w:pPr>
      <w:snapToGrid w:val="0"/>
    </w:pPr>
    <w:rPr>
      <w:rFonts w:ascii="Times New Roman" w:hAnsi="Times New Roman" w:eastAsia="宋体" w:cs="Times New Roman"/>
      <w:sz w:val="21"/>
      <w:szCs w:val="21"/>
      <w:lang w:val="en-US" w:eastAsia="zh-CN" w:bidi="ar-SA"/>
    </w:rPr>
  </w:style>
  <w:style w:type="character" w:customStyle="1" w:styleId="100">
    <w:name w:val="标题 1 Char Char"/>
    <w:qFormat/>
    <w:uiPriority w:val="0"/>
    <w:rPr>
      <w:rFonts w:ascii="Times New Roman" w:hAnsi="Times New Roman" w:eastAsia="宋体" w:cs="Times New Roman"/>
      <w:b/>
      <w:spacing w:val="-2"/>
      <w:sz w:val="24"/>
      <w:lang w:val="en-US" w:eastAsia="zh-CN"/>
    </w:rPr>
  </w:style>
  <w:style w:type="character" w:customStyle="1" w:styleId="101">
    <w:name w:val="日期 Char1"/>
    <w:qFormat/>
    <w:uiPriority w:val="0"/>
    <w:rPr>
      <w:kern w:val="2"/>
      <w:sz w:val="21"/>
      <w:szCs w:val="24"/>
    </w:rPr>
  </w:style>
  <w:style w:type="character" w:customStyle="1" w:styleId="102">
    <w:name w:val="普通(网站) Char"/>
    <w:basedOn w:val="48"/>
    <w:link w:val="42"/>
    <w:qFormat/>
    <w:uiPriority w:val="0"/>
    <w:rPr>
      <w:rFonts w:ascii="宋体" w:hAnsi="宋体" w:eastAsia="宋体"/>
      <w:color w:val="000000"/>
      <w:sz w:val="24"/>
      <w:szCs w:val="24"/>
      <w:lang w:bidi="ar-SA"/>
    </w:rPr>
  </w:style>
  <w:style w:type="character" w:customStyle="1" w:styleId="103">
    <w:name w:val="标题 2 Char"/>
    <w:link w:val="4"/>
    <w:qFormat/>
    <w:uiPriority w:val="99"/>
    <w:rPr>
      <w:rFonts w:ascii="Arial" w:hAnsi="Arial" w:eastAsia="黑体"/>
      <w:b/>
      <w:bCs/>
      <w:kern w:val="2"/>
      <w:sz w:val="32"/>
      <w:szCs w:val="32"/>
      <w:lang w:val="en-US" w:eastAsia="zh-CN" w:bidi="ar-SA"/>
    </w:rPr>
  </w:style>
  <w:style w:type="character" w:customStyle="1" w:styleId="104">
    <w:name w:val="标题 3 Char"/>
    <w:basedOn w:val="48"/>
    <w:link w:val="5"/>
    <w:qFormat/>
    <w:uiPriority w:val="99"/>
    <w:rPr>
      <w:rFonts w:eastAsia="宋体"/>
      <w:b/>
      <w:bCs/>
      <w:color w:val="000000"/>
      <w:sz w:val="32"/>
      <w:szCs w:val="32"/>
      <w:lang w:val="en-US" w:eastAsia="zh-CN" w:bidi="ar-SA"/>
    </w:rPr>
  </w:style>
  <w:style w:type="character" w:customStyle="1" w:styleId="105">
    <w:name w:val="01正文样式 Char"/>
    <w:link w:val="106"/>
    <w:qFormat/>
    <w:uiPriority w:val="0"/>
    <w:rPr>
      <w:rFonts w:ascii="Tahoma" w:hAnsi="Tahoma" w:eastAsia="仿宋_GB2312"/>
      <w:sz w:val="28"/>
      <w:lang w:bidi="ar-SA"/>
    </w:rPr>
  </w:style>
  <w:style w:type="paragraph" w:customStyle="1" w:styleId="106">
    <w:name w:val="01正文样式"/>
    <w:basedOn w:val="1"/>
    <w:link w:val="105"/>
    <w:qFormat/>
    <w:uiPriority w:val="0"/>
    <w:pPr>
      <w:autoSpaceDE/>
      <w:autoSpaceDN/>
      <w:adjustRightInd/>
      <w:ind w:firstLine="480"/>
    </w:pPr>
    <w:rPr>
      <w:rFonts w:ascii="Tahoma" w:hAnsi="Tahoma" w:eastAsia="仿宋_GB2312"/>
      <w:color w:val="auto"/>
      <w:sz w:val="28"/>
      <w:szCs w:val="20"/>
    </w:rPr>
  </w:style>
  <w:style w:type="character" w:customStyle="1" w:styleId="107">
    <w:name w:val="日期 Char"/>
    <w:basedOn w:val="48"/>
    <w:link w:val="25"/>
    <w:qFormat/>
    <w:uiPriority w:val="99"/>
    <w:rPr>
      <w:rFonts w:eastAsia="宋体"/>
      <w:color w:val="000000"/>
      <w:sz w:val="21"/>
      <w:szCs w:val="21"/>
      <w:lang w:val="en-US" w:eastAsia="zh-CN" w:bidi="ar-SA"/>
    </w:rPr>
  </w:style>
  <w:style w:type="character" w:customStyle="1" w:styleId="108">
    <w:name w:val="列出段落 Char Char"/>
    <w:link w:val="109"/>
    <w:qFormat/>
    <w:uiPriority w:val="0"/>
    <w:rPr>
      <w:rFonts w:ascii="Calibri" w:hAnsi="Calibri"/>
      <w:szCs w:val="22"/>
      <w:lang w:bidi="ar-SA"/>
    </w:rPr>
  </w:style>
  <w:style w:type="paragraph" w:customStyle="1" w:styleId="109">
    <w:name w:val="列出段落1"/>
    <w:basedOn w:val="1"/>
    <w:link w:val="108"/>
    <w:qFormat/>
    <w:uiPriority w:val="0"/>
    <w:pPr>
      <w:autoSpaceDE/>
      <w:autoSpaceDN/>
      <w:adjustRightInd/>
      <w:ind w:firstLine="420" w:firstLineChars="200"/>
    </w:pPr>
    <w:rPr>
      <w:rFonts w:ascii="Calibri" w:hAnsi="Calibri"/>
      <w:color w:val="auto"/>
      <w:sz w:val="20"/>
      <w:szCs w:val="22"/>
    </w:rPr>
  </w:style>
  <w:style w:type="character" w:customStyle="1" w:styleId="110">
    <w:name w:val="正文文本缩进 3 Char"/>
    <w:basedOn w:val="48"/>
    <w:link w:val="36"/>
    <w:qFormat/>
    <w:uiPriority w:val="99"/>
    <w:rPr>
      <w:rFonts w:eastAsia="宋体"/>
      <w:kern w:val="2"/>
      <w:sz w:val="21"/>
      <w:szCs w:val="24"/>
      <w:lang w:val="en-US" w:eastAsia="zh-CN" w:bidi="ar-SA"/>
    </w:rPr>
  </w:style>
  <w:style w:type="paragraph" w:customStyle="1" w:styleId="111">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12">
    <w:name w:val="正文表标题"/>
    <w:next w:val="1"/>
    <w:qFormat/>
    <w:uiPriority w:val="0"/>
    <w:pPr>
      <w:tabs>
        <w:tab w:val="left" w:pos="360"/>
        <w:tab w:val="left" w:pos="1200"/>
      </w:tabs>
      <w:spacing w:beforeLines="50" w:afterLines="50"/>
      <w:ind w:left="1200" w:hanging="360"/>
      <w:jc w:val="center"/>
    </w:pPr>
    <w:rPr>
      <w:rFonts w:ascii="黑体" w:hAnsi="Calibri" w:eastAsia="黑体" w:cs="Times New Roman"/>
      <w:sz w:val="21"/>
      <w:szCs w:val="22"/>
      <w:lang w:val="en-US" w:eastAsia="zh-CN" w:bidi="ar-SA"/>
    </w:rPr>
  </w:style>
  <w:style w:type="paragraph" w:customStyle="1" w:styleId="113">
    <w:name w:val="WCX3"/>
    <w:basedOn w:val="5"/>
    <w:qFormat/>
    <w:uiPriority w:val="0"/>
    <w:pPr>
      <w:spacing w:line="360" w:lineRule="auto"/>
      <w:jc w:val="left"/>
    </w:pPr>
    <w:rPr>
      <w:rFonts w:ascii="Calibri Light" w:hAnsi="Calibri Light" w:cs="Calibri"/>
      <w:lang w:bidi="en-US"/>
    </w:rPr>
  </w:style>
  <w:style w:type="paragraph" w:customStyle="1" w:styleId="114">
    <w:name w:val="p20"/>
    <w:basedOn w:val="1"/>
    <w:qFormat/>
    <w:uiPriority w:val="0"/>
    <w:pPr>
      <w:widowControl/>
      <w:autoSpaceDE/>
      <w:autoSpaceDN/>
      <w:adjustRightInd/>
      <w:ind w:left="425" w:firstLine="420"/>
    </w:pPr>
    <w:rPr>
      <w:rFonts w:ascii="Calibri" w:hAnsi="Calibri" w:cs="宋体"/>
      <w:color w:val="auto"/>
    </w:rPr>
  </w:style>
  <w:style w:type="paragraph" w:customStyle="1" w:styleId="115">
    <w:name w:val="题注居中"/>
    <w:basedOn w:val="13"/>
    <w:next w:val="1"/>
    <w:qFormat/>
    <w:uiPriority w:val="0"/>
    <w:pPr>
      <w:spacing w:after="120" w:line="240" w:lineRule="exact"/>
      <w:ind w:firstLine="0" w:firstLineChars="0"/>
      <w:jc w:val="center"/>
    </w:pPr>
    <w:rPr>
      <w:rFonts w:ascii="宋体" w:hAnsi="宋体" w:eastAsia="宋体" w:cs="宋体"/>
      <w:b/>
      <w:sz w:val="21"/>
    </w:rPr>
  </w:style>
  <w:style w:type="paragraph" w:customStyle="1" w:styleId="116">
    <w:name w:val="普通(网站)1"/>
    <w:basedOn w:val="1"/>
    <w:qFormat/>
    <w:uiPriority w:val="0"/>
    <w:pPr>
      <w:widowControl/>
      <w:autoSpaceDE/>
      <w:autoSpaceDN/>
      <w:adjustRightInd/>
      <w:spacing w:before="100" w:beforeAutospacing="1" w:after="100" w:afterAutospacing="1"/>
      <w:jc w:val="left"/>
    </w:pPr>
    <w:rPr>
      <w:rFonts w:hint="eastAsia" w:ascii="宋体" w:hAnsi="宋体"/>
      <w:sz w:val="24"/>
    </w:rPr>
  </w:style>
  <w:style w:type="paragraph" w:customStyle="1" w:styleId="117">
    <w:name w:val="文档正文"/>
    <w:basedOn w:val="1"/>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18">
    <w:name w:val="p21"/>
    <w:basedOn w:val="1"/>
    <w:qFormat/>
    <w:uiPriority w:val="0"/>
    <w:pPr>
      <w:widowControl/>
      <w:autoSpaceDE/>
      <w:autoSpaceDN/>
      <w:adjustRightInd/>
      <w:jc w:val="left"/>
    </w:pPr>
    <w:rPr>
      <w:color w:val="auto"/>
    </w:rPr>
  </w:style>
  <w:style w:type="paragraph" w:customStyle="1" w:styleId="119">
    <w:name w:val="二级条标题"/>
    <w:basedOn w:val="1"/>
    <w:next w:val="1"/>
    <w:qFormat/>
    <w:uiPriority w:val="0"/>
    <w:pPr>
      <w:tabs>
        <w:tab w:val="left" w:pos="1560"/>
        <w:tab w:val="left" w:pos="1980"/>
      </w:tabs>
      <w:autoSpaceDE/>
      <w:autoSpaceDN/>
      <w:adjustRightInd/>
      <w:spacing w:before="50" w:after="50"/>
      <w:ind w:left="1560" w:hanging="720"/>
      <w:outlineLvl w:val="3"/>
    </w:pPr>
    <w:rPr>
      <w:rFonts w:ascii="黑体" w:eastAsia="黑体"/>
      <w:color w:val="auto"/>
      <w:kern w:val="2"/>
    </w:rPr>
  </w:style>
  <w:style w:type="paragraph" w:customStyle="1" w:styleId="12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Char3 Char Char Char"/>
    <w:basedOn w:val="1"/>
    <w:qFormat/>
    <w:uiPriority w:val="0"/>
    <w:pPr>
      <w:autoSpaceDE/>
      <w:autoSpaceDN/>
      <w:adjustRightInd/>
    </w:pPr>
    <w:rPr>
      <w:rFonts w:ascii="Tahoma" w:hAnsi="Tahoma" w:eastAsia="Times New Roman"/>
      <w:color w:val="auto"/>
      <w:kern w:val="2"/>
      <w:sz w:val="24"/>
      <w:szCs w:val="20"/>
    </w:rPr>
  </w:style>
  <w:style w:type="paragraph" w:customStyle="1" w:styleId="122">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23">
    <w:name w:val="xc正文"/>
    <w:basedOn w:val="1"/>
    <w:qFormat/>
    <w:uiPriority w:val="0"/>
    <w:pPr>
      <w:autoSpaceDE/>
      <w:autoSpaceDN/>
      <w:adjustRightInd/>
      <w:ind w:firstLine="200" w:firstLineChars="200"/>
    </w:pPr>
    <w:rPr>
      <w:color w:val="auto"/>
      <w:kern w:val="2"/>
      <w:szCs w:val="24"/>
    </w:rPr>
  </w:style>
  <w:style w:type="paragraph" w:customStyle="1" w:styleId="124">
    <w:name w:val="p16"/>
    <w:basedOn w:val="1"/>
    <w:qFormat/>
    <w:uiPriority w:val="0"/>
    <w:pPr>
      <w:widowControl/>
      <w:autoSpaceDE/>
      <w:autoSpaceDN/>
      <w:adjustRightInd/>
    </w:pPr>
    <w:rPr>
      <w:color w:val="auto"/>
      <w:sz w:val="24"/>
      <w:szCs w:val="24"/>
    </w:rPr>
  </w:style>
  <w:style w:type="paragraph" w:customStyle="1" w:styleId="125">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126">
    <w:name w:val="*正文"/>
    <w:basedOn w:val="1"/>
    <w:qFormat/>
    <w:uiPriority w:val="0"/>
    <w:pPr>
      <w:spacing w:beforeLines="50" w:afterLines="50" w:line="360" w:lineRule="auto"/>
      <w:ind w:firstLine="480" w:firstLineChars="200"/>
    </w:pPr>
    <w:rPr>
      <w:sz w:val="24"/>
      <w:szCs w:val="24"/>
    </w:rPr>
  </w:style>
  <w:style w:type="paragraph" w:customStyle="1" w:styleId="127">
    <w:name w:val="表格文字"/>
    <w:basedOn w:val="23"/>
    <w:qFormat/>
    <w:uiPriority w:val="99"/>
    <w:pPr>
      <w:jc w:val="left"/>
    </w:pPr>
    <w:rPr>
      <w:szCs w:val="20"/>
    </w:rPr>
  </w:style>
  <w:style w:type="paragraph" w:customStyle="1" w:styleId="128">
    <w:name w:val="WCX2"/>
    <w:basedOn w:val="4"/>
    <w:qFormat/>
    <w:uiPriority w:val="0"/>
    <w:pPr>
      <w:spacing w:line="360" w:lineRule="auto"/>
      <w:ind w:left="361" w:hanging="361"/>
    </w:pPr>
    <w:rPr>
      <w:rFonts w:ascii="Calibri Light" w:hAnsi="Calibri Light" w:eastAsia="宋体"/>
      <w:sz w:val="36"/>
    </w:rPr>
  </w:style>
  <w:style w:type="paragraph" w:customStyle="1" w:styleId="129">
    <w:name w:val="WPSOffice手动目录 1"/>
    <w:qFormat/>
    <w:uiPriority w:val="0"/>
    <w:rPr>
      <w:rFonts w:ascii="Times New Roman" w:hAnsi="Times New Roman" w:eastAsia="宋体" w:cs="Times New Roman"/>
      <w:lang w:val="en-US" w:eastAsia="zh-CN" w:bidi="ar-SA"/>
    </w:rPr>
  </w:style>
  <w:style w:type="paragraph" w:customStyle="1" w:styleId="130">
    <w:name w:val="p22"/>
    <w:basedOn w:val="1"/>
    <w:qFormat/>
    <w:uiPriority w:val="0"/>
    <w:pPr>
      <w:widowControl/>
      <w:autoSpaceDE/>
      <w:autoSpaceDN/>
      <w:adjustRightInd/>
      <w:jc w:val="left"/>
    </w:pPr>
    <w:rPr>
      <w:color w:val="auto"/>
      <w:sz w:val="18"/>
      <w:szCs w:val="18"/>
    </w:rPr>
  </w:style>
  <w:style w:type="paragraph" w:customStyle="1" w:styleId="131">
    <w:name w:val="封面标准文稿编辑信息"/>
    <w:qFormat/>
    <w:uiPriority w:val="0"/>
    <w:pPr>
      <w:spacing w:before="180" w:line="180" w:lineRule="exact"/>
      <w:jc w:val="center"/>
    </w:pPr>
    <w:rPr>
      <w:rFonts w:ascii="宋体" w:hAnsi="Calibri" w:eastAsia="宋体" w:cs="Times New Roman"/>
      <w:sz w:val="21"/>
      <w:szCs w:val="22"/>
      <w:lang w:val="en-US" w:eastAsia="zh-CN" w:bidi="ar-SA"/>
    </w:rPr>
  </w:style>
  <w:style w:type="paragraph" w:customStyle="1" w:styleId="132">
    <w:name w:val="Char Char Char Char Char Char"/>
    <w:basedOn w:val="1"/>
    <w:qFormat/>
    <w:uiPriority w:val="99"/>
    <w:pPr>
      <w:widowControl/>
      <w:autoSpaceDE/>
      <w:autoSpaceDN/>
      <w:adjustRightInd/>
      <w:spacing w:after="160" w:line="240" w:lineRule="exact"/>
      <w:jc w:val="left"/>
    </w:pPr>
    <w:rPr>
      <w:color w:val="auto"/>
      <w:kern w:val="2"/>
      <w:szCs w:val="24"/>
    </w:rPr>
  </w:style>
  <w:style w:type="paragraph" w:customStyle="1" w:styleId="133">
    <w:name w:val="标书正文"/>
    <w:basedOn w:val="1"/>
    <w:qFormat/>
    <w:uiPriority w:val="99"/>
    <w:pPr>
      <w:snapToGrid w:val="0"/>
      <w:spacing w:before="120" w:after="120" w:line="360" w:lineRule="auto"/>
      <w:ind w:firstLine="540" w:firstLineChars="192"/>
    </w:pPr>
    <w:rPr>
      <w:rFonts w:ascii="华文中宋" w:hAnsi="宋体" w:cs="宋体"/>
      <w:sz w:val="28"/>
      <w:szCs w:val="28"/>
    </w:rPr>
  </w:style>
  <w:style w:type="paragraph" w:customStyle="1" w:styleId="134">
    <w:name w:val="表格标题"/>
    <w:basedOn w:val="127"/>
    <w:qFormat/>
    <w:uiPriority w:val="99"/>
    <w:pPr>
      <w:keepNext/>
      <w:jc w:val="center"/>
    </w:pPr>
    <w:rPr>
      <w:b/>
      <w:bCs/>
    </w:rPr>
  </w:style>
  <w:style w:type="paragraph" w:customStyle="1" w:styleId="135">
    <w:name w:val="Char Char Char Char Char Char Char Char Char Char Char Char Char Char Char Char Char Char Char Char Char Char Char Char Char Char Char Char"/>
    <w:basedOn w:val="1"/>
    <w:qFormat/>
    <w:uiPriority w:val="0"/>
    <w:pPr>
      <w:tabs>
        <w:tab w:val="left" w:pos="360"/>
      </w:tabs>
      <w:autoSpaceDE/>
      <w:autoSpaceDN/>
      <w:adjustRightInd/>
    </w:pPr>
    <w:rPr>
      <w:color w:val="auto"/>
      <w:kern w:val="2"/>
      <w:sz w:val="24"/>
      <w:szCs w:val="24"/>
    </w:rPr>
  </w:style>
  <w:style w:type="paragraph" w:customStyle="1" w:styleId="136">
    <w:name w:val="列出段落11"/>
    <w:basedOn w:val="1"/>
    <w:qFormat/>
    <w:uiPriority w:val="0"/>
    <w:pPr>
      <w:autoSpaceDE/>
      <w:autoSpaceDN/>
      <w:adjustRightInd/>
      <w:ind w:firstLine="420" w:firstLineChars="200"/>
    </w:pPr>
    <w:rPr>
      <w:color w:val="auto"/>
      <w:kern w:val="2"/>
      <w:szCs w:val="24"/>
    </w:rPr>
  </w:style>
  <w:style w:type="paragraph" w:customStyle="1" w:styleId="137">
    <w:name w:val="纯文本1"/>
    <w:basedOn w:val="1"/>
    <w:qFormat/>
    <w:uiPriority w:val="0"/>
    <w:pPr>
      <w:autoSpaceDE/>
      <w:autoSpaceDN/>
      <w:adjustRightInd/>
      <w:ind w:firstLine="280" w:firstLineChars="100"/>
    </w:pPr>
    <w:rPr>
      <w:rFonts w:hAnsi="宋体" w:cs="Courier New"/>
      <w:color w:val="auto"/>
      <w:kern w:val="2"/>
    </w:rPr>
  </w:style>
  <w:style w:type="paragraph" w:customStyle="1" w:styleId="138">
    <w:name w:val="列项"/>
    <w:basedOn w:val="1"/>
    <w:next w:val="1"/>
    <w:qFormat/>
    <w:uiPriority w:val="0"/>
    <w:pPr>
      <w:autoSpaceDE/>
      <w:autoSpaceDN/>
      <w:adjustRightInd/>
      <w:spacing w:line="360" w:lineRule="auto"/>
      <w:ind w:left="840" w:hanging="420"/>
    </w:pPr>
    <w:rPr>
      <w:rFonts w:ascii="宋体" w:hAnsi="宋体"/>
      <w:color w:val="auto"/>
      <w:kern w:val="2"/>
      <w:sz w:val="24"/>
      <w:szCs w:val="22"/>
    </w:rPr>
  </w:style>
  <w:style w:type="paragraph" w:customStyle="1" w:styleId="139">
    <w:name w:val="样式 正文缩进首行缩进两字 + 小四 首行缩进:  2 字符"/>
    <w:basedOn w:val="9"/>
    <w:qFormat/>
    <w:uiPriority w:val="0"/>
    <w:pPr>
      <w:spacing w:line="360" w:lineRule="auto"/>
      <w:ind w:firstLine="200" w:firstLineChars="200"/>
    </w:pPr>
    <w:rPr>
      <w:rFonts w:cs="宋体"/>
      <w:sz w:val="24"/>
    </w:rPr>
  </w:style>
  <w:style w:type="paragraph" w:customStyle="1" w:styleId="140">
    <w:name w:val="p17"/>
    <w:basedOn w:val="1"/>
    <w:qFormat/>
    <w:uiPriority w:val="0"/>
    <w:pPr>
      <w:widowControl/>
      <w:autoSpaceDE/>
      <w:autoSpaceDN/>
      <w:adjustRightInd/>
      <w:ind w:left="2520"/>
    </w:pPr>
    <w:rPr>
      <w:color w:val="auto"/>
    </w:rPr>
  </w:style>
  <w:style w:type="paragraph" w:customStyle="1" w:styleId="141">
    <w:name w:val="正文文本缩进1"/>
    <w:basedOn w:val="1"/>
    <w:next w:val="1"/>
    <w:qFormat/>
    <w:uiPriority w:val="0"/>
    <w:pPr>
      <w:autoSpaceDE/>
      <w:autoSpaceDN/>
      <w:adjustRightInd/>
      <w:spacing w:after="120"/>
      <w:ind w:left="420" w:leftChars="200"/>
    </w:pPr>
    <w:rPr>
      <w:rFonts w:ascii="Calibri" w:hAnsi="Calibri"/>
      <w:kern w:val="2"/>
    </w:rPr>
  </w:style>
  <w:style w:type="paragraph" w:customStyle="1" w:styleId="142">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143">
    <w:name w:val="p23"/>
    <w:basedOn w:val="1"/>
    <w:qFormat/>
    <w:uiPriority w:val="0"/>
    <w:pPr>
      <w:widowControl/>
      <w:pBdr>
        <w:bottom w:val="single" w:color="000000" w:sz="6" w:space="1"/>
      </w:pBdr>
      <w:autoSpaceDE/>
      <w:autoSpaceDN/>
      <w:adjustRightInd/>
      <w:jc w:val="center"/>
    </w:pPr>
    <w:rPr>
      <w:color w:val="auto"/>
      <w:sz w:val="18"/>
      <w:szCs w:val="18"/>
    </w:rPr>
  </w:style>
  <w:style w:type="paragraph" w:customStyle="1" w:styleId="144">
    <w:name w:val="Char"/>
    <w:basedOn w:val="1"/>
    <w:qFormat/>
    <w:uiPriority w:val="99"/>
    <w:pPr>
      <w:widowControl/>
      <w:autoSpaceDE/>
      <w:autoSpaceDN/>
      <w:adjustRightInd/>
      <w:spacing w:after="160" w:line="240" w:lineRule="exact"/>
      <w:jc w:val="left"/>
    </w:pPr>
    <w:rPr>
      <w:rFonts w:ascii="Verdana" w:hAnsi="Verdana"/>
      <w:color w:val="auto"/>
      <w:szCs w:val="20"/>
      <w:lang w:eastAsia="en-US"/>
    </w:rPr>
  </w:style>
  <w:style w:type="paragraph" w:customStyle="1" w:styleId="145">
    <w:name w:val="p15"/>
    <w:basedOn w:val="1"/>
    <w:qFormat/>
    <w:uiPriority w:val="0"/>
    <w:pPr>
      <w:widowControl/>
      <w:autoSpaceDE/>
      <w:autoSpaceDN/>
      <w:adjustRightInd/>
      <w:snapToGrid w:val="0"/>
    </w:pPr>
  </w:style>
  <w:style w:type="paragraph" w:customStyle="1" w:styleId="146">
    <w:name w:val="正文首行缩进 21"/>
    <w:basedOn w:val="141"/>
    <w:qFormat/>
    <w:uiPriority w:val="0"/>
    <w:pPr>
      <w:ind w:firstLine="420"/>
    </w:pPr>
    <w:rPr>
      <w:rFonts w:ascii="Times New Roman" w:hAnsi="Times New Roman" w:cs="宋体"/>
    </w:rPr>
  </w:style>
  <w:style w:type="paragraph" w:customStyle="1" w:styleId="147">
    <w:name w:val="Char Char Char Char Char Char Char Char Char Char Char Char Char Char Char Char Char Char Char"/>
    <w:basedOn w:val="1"/>
    <w:qFormat/>
    <w:uiPriority w:val="0"/>
    <w:pPr>
      <w:autoSpaceDE/>
      <w:autoSpaceDN/>
      <w:adjustRightInd/>
    </w:pPr>
    <w:rPr>
      <w:color w:val="auto"/>
      <w:kern w:val="2"/>
      <w:szCs w:val="24"/>
    </w:rPr>
  </w:style>
  <w:style w:type="paragraph" w:customStyle="1" w:styleId="1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9">
    <w:name w:val="正文文本缩进 31"/>
    <w:basedOn w:val="1"/>
    <w:qFormat/>
    <w:uiPriority w:val="0"/>
    <w:pPr>
      <w:autoSpaceDE/>
      <w:autoSpaceDN/>
      <w:adjustRightInd/>
      <w:ind w:firstLine="435"/>
    </w:pPr>
    <w:rPr>
      <w:rFonts w:ascii="Calibri" w:hAnsi="Calibri"/>
      <w:color w:val="auto"/>
      <w:kern w:val="2"/>
      <w:szCs w:val="24"/>
    </w:rPr>
  </w:style>
  <w:style w:type="paragraph" w:customStyle="1" w:styleId="150">
    <w:name w:val="样式4"/>
    <w:basedOn w:val="3"/>
    <w:qFormat/>
    <w:uiPriority w:val="0"/>
    <w:pPr>
      <w:autoSpaceDE/>
      <w:autoSpaceDN/>
      <w:adjustRightInd/>
      <w:spacing w:line="480" w:lineRule="auto"/>
    </w:pPr>
    <w:rPr>
      <w:bCs/>
      <w:color w:val="auto"/>
      <w:sz w:val="32"/>
      <w:szCs w:val="44"/>
    </w:rPr>
  </w:style>
  <w:style w:type="paragraph" w:customStyle="1" w:styleId="151">
    <w:name w:val="p19"/>
    <w:basedOn w:val="1"/>
    <w:qFormat/>
    <w:uiPriority w:val="0"/>
    <w:pPr>
      <w:widowControl/>
      <w:autoSpaceDE/>
      <w:autoSpaceDN/>
      <w:adjustRightInd/>
      <w:spacing w:before="156" w:after="156" w:line="360" w:lineRule="auto"/>
      <w:ind w:firstLine="420"/>
    </w:pPr>
    <w:rPr>
      <w:color w:val="auto"/>
      <w:sz w:val="24"/>
      <w:szCs w:val="24"/>
    </w:rPr>
  </w:style>
  <w:style w:type="paragraph" w:customStyle="1" w:styleId="152">
    <w:name w:val="p18"/>
    <w:basedOn w:val="1"/>
    <w:qFormat/>
    <w:uiPriority w:val="0"/>
    <w:pPr>
      <w:widowControl/>
      <w:autoSpaceDE/>
      <w:autoSpaceDN/>
      <w:adjustRightInd/>
      <w:snapToGrid w:val="0"/>
      <w:jc w:val="left"/>
    </w:pPr>
    <w:rPr>
      <w:sz w:val="24"/>
      <w:szCs w:val="24"/>
    </w:rPr>
  </w:style>
  <w:style w:type="paragraph" w:customStyle="1" w:styleId="153">
    <w:name w:val="!我的正文 Ctr+Q"/>
    <w:basedOn w:val="1"/>
    <w:qFormat/>
    <w:uiPriority w:val="0"/>
    <w:pPr>
      <w:snapToGrid w:val="0"/>
      <w:spacing w:line="360" w:lineRule="auto"/>
      <w:ind w:firstLine="480" w:firstLineChars="200"/>
    </w:pPr>
    <w:rPr>
      <w:rFonts w:ascii="Arial" w:hAnsi="Arial"/>
      <w:sz w:val="24"/>
    </w:rPr>
  </w:style>
  <w:style w:type="paragraph" w:customStyle="1" w:styleId="154">
    <w:name w:val="Char Char Char Char1"/>
    <w:basedOn w:val="1"/>
    <w:qFormat/>
    <w:uiPriority w:val="0"/>
    <w:pPr>
      <w:autoSpaceDE/>
      <w:autoSpaceDN/>
      <w:adjustRightInd/>
    </w:pPr>
    <w:rPr>
      <w:rFonts w:ascii="Tahoma" w:hAnsi="Tahoma"/>
      <w:color w:val="auto"/>
      <w:kern w:val="2"/>
      <w:sz w:val="24"/>
      <w:szCs w:val="20"/>
    </w:rPr>
  </w:style>
  <w:style w:type="character" w:customStyle="1" w:styleId="155">
    <w:name w:val="标题 6 Char"/>
    <w:basedOn w:val="48"/>
    <w:link w:val="8"/>
    <w:qFormat/>
    <w:uiPriority w:val="9"/>
    <w:rPr>
      <w:rFonts w:ascii="宋体"/>
      <w:kern w:val="2"/>
      <w:sz w:val="28"/>
    </w:rPr>
  </w:style>
  <w:style w:type="character" w:customStyle="1" w:styleId="156">
    <w:name w:val="标题 9 Char"/>
    <w:basedOn w:val="48"/>
    <w:link w:val="10"/>
    <w:qFormat/>
    <w:uiPriority w:val="9"/>
    <w:rPr>
      <w:rFonts w:ascii="华文细黑" w:hAnsi="华文细黑" w:eastAsia="华文细黑"/>
      <w:kern w:val="2"/>
      <w:sz w:val="28"/>
      <w:szCs w:val="24"/>
    </w:rPr>
  </w:style>
  <w:style w:type="character" w:customStyle="1" w:styleId="157">
    <w:name w:val="正文首行缩进 Char"/>
    <w:basedOn w:val="64"/>
    <w:link w:val="2"/>
    <w:qFormat/>
    <w:uiPriority w:val="99"/>
    <w:rPr>
      <w:color w:val="000000"/>
      <w:kern w:val="2"/>
      <w:sz w:val="24"/>
      <w:szCs w:val="24"/>
    </w:rPr>
  </w:style>
  <w:style w:type="character" w:customStyle="1" w:styleId="158">
    <w:name w:val="正文文本 3 Char"/>
    <w:basedOn w:val="48"/>
    <w:link w:val="17"/>
    <w:qFormat/>
    <w:uiPriority w:val="99"/>
    <w:rPr>
      <w:color w:val="999999"/>
      <w:kern w:val="2"/>
      <w:sz w:val="21"/>
      <w:szCs w:val="24"/>
    </w:rPr>
  </w:style>
  <w:style w:type="character" w:customStyle="1" w:styleId="159">
    <w:name w:val="正文文本 2 Char"/>
    <w:basedOn w:val="48"/>
    <w:link w:val="40"/>
    <w:qFormat/>
    <w:uiPriority w:val="99"/>
    <w:rPr>
      <w:kern w:val="2"/>
      <w:sz w:val="24"/>
    </w:rPr>
  </w:style>
  <w:style w:type="character" w:customStyle="1" w:styleId="160">
    <w:name w:val="style21"/>
    <w:qFormat/>
    <w:uiPriority w:val="99"/>
    <w:rPr>
      <w:color w:val="666666"/>
    </w:rPr>
  </w:style>
  <w:style w:type="character" w:customStyle="1" w:styleId="161">
    <w:name w:val="style121"/>
    <w:qFormat/>
    <w:uiPriority w:val="99"/>
    <w:rPr>
      <w:rFonts w:hint="default" w:ascii="ˎ̥" w:hAnsi="ˎ̥"/>
    </w:rPr>
  </w:style>
  <w:style w:type="character" w:customStyle="1" w:styleId="162">
    <w:name w:val="正文文本缩进 2 Char"/>
    <w:link w:val="26"/>
    <w:qFormat/>
    <w:uiPriority w:val="99"/>
    <w:rPr>
      <w:rFonts w:ascii="仿宋_GB2312" w:eastAsia="仿宋_GB2312"/>
      <w:kern w:val="2"/>
      <w:sz w:val="28"/>
      <w:szCs w:val="28"/>
    </w:rPr>
  </w:style>
  <w:style w:type="character" w:customStyle="1" w:styleId="163">
    <w:name w:val="已访问的超链接1"/>
    <w:qFormat/>
    <w:uiPriority w:val="99"/>
    <w:rPr>
      <w:color w:val="800080"/>
      <w:u w:val="single"/>
    </w:rPr>
  </w:style>
  <w:style w:type="character" w:customStyle="1" w:styleId="164">
    <w:name w:val="p121"/>
    <w:qFormat/>
    <w:uiPriority w:val="99"/>
    <w:rPr>
      <w:rFonts w:hint="default"/>
      <w:sz w:val="24"/>
      <w:szCs w:val="24"/>
      <w:u w:val="none"/>
    </w:rPr>
  </w:style>
  <w:style w:type="character" w:customStyle="1" w:styleId="165">
    <w:name w:val="c lh15"/>
    <w:basedOn w:val="48"/>
    <w:qFormat/>
    <w:uiPriority w:val="99"/>
  </w:style>
  <w:style w:type="character" w:customStyle="1" w:styleId="166">
    <w:name w:val="font1"/>
    <w:qFormat/>
    <w:uiPriority w:val="99"/>
    <w:rPr>
      <w:rFonts w:hint="default" w:ascii="??" w:hAnsi="??"/>
      <w:color w:val="000000"/>
      <w:sz w:val="18"/>
      <w:szCs w:val="18"/>
      <w:u w:val="none"/>
    </w:rPr>
  </w:style>
  <w:style w:type="character" w:customStyle="1" w:styleId="167">
    <w:name w:val="px141"/>
    <w:qFormat/>
    <w:uiPriority w:val="99"/>
    <w:rPr>
      <w:sz w:val="18"/>
      <w:szCs w:val="18"/>
    </w:rPr>
  </w:style>
  <w:style w:type="paragraph" w:customStyle="1" w:styleId="168">
    <w:name w:val="z-窗体底端1"/>
    <w:basedOn w:val="1"/>
    <w:next w:val="1"/>
    <w:qFormat/>
    <w:uiPriority w:val="99"/>
    <w:pPr>
      <w:widowControl/>
      <w:pBdr>
        <w:top w:val="single" w:color="auto" w:sz="6" w:space="1"/>
      </w:pBdr>
      <w:autoSpaceDE/>
      <w:autoSpaceDN/>
      <w:adjustRightInd/>
      <w:jc w:val="center"/>
    </w:pPr>
    <w:rPr>
      <w:rFonts w:ascii="Arial" w:hAnsi="Arial" w:cs="Arial"/>
      <w:vanish/>
      <w:color w:val="auto"/>
      <w:sz w:val="16"/>
      <w:szCs w:val="16"/>
    </w:rPr>
  </w:style>
  <w:style w:type="paragraph" w:customStyle="1" w:styleId="169">
    <w:name w:val="xl33"/>
    <w:basedOn w:val="1"/>
    <w:qFormat/>
    <w:uiPriority w:val="99"/>
    <w:pPr>
      <w:widowControl/>
      <w:autoSpaceDE/>
      <w:autoSpaceDN/>
      <w:adjustRightInd/>
      <w:spacing w:before="100" w:beforeAutospacing="1" w:after="100" w:afterAutospacing="1"/>
      <w:jc w:val="left"/>
    </w:pPr>
    <w:rPr>
      <w:rFonts w:ascii="Arial Unicode MS" w:hAnsi="Arial Unicode MS" w:eastAsia="Arial Unicode MS" w:cs="Arial Unicode MS"/>
      <w:color w:val="auto"/>
      <w:sz w:val="24"/>
      <w:szCs w:val="24"/>
    </w:rPr>
  </w:style>
  <w:style w:type="paragraph" w:customStyle="1" w:styleId="170">
    <w:name w:val="xl27"/>
    <w:basedOn w:val="1"/>
    <w:qFormat/>
    <w:uiPriority w:val="99"/>
    <w:pPr>
      <w:widowControl/>
      <w:autoSpaceDE/>
      <w:autoSpaceDN/>
      <w:adjustRightInd/>
      <w:spacing w:before="100" w:beforeAutospacing="1" w:after="100" w:afterAutospacing="1"/>
      <w:jc w:val="left"/>
      <w:textAlignment w:val="center"/>
    </w:pPr>
    <w:rPr>
      <w:rFonts w:ascii="Arial Unicode MS" w:hAnsi="Arial Unicode MS" w:eastAsia="Arial Unicode MS" w:cs="Arial Unicode MS"/>
      <w:color w:val="auto"/>
      <w:sz w:val="24"/>
      <w:szCs w:val="24"/>
    </w:rPr>
  </w:style>
  <w:style w:type="paragraph" w:customStyle="1" w:styleId="171">
    <w:name w:val="xl31"/>
    <w:basedOn w:val="1"/>
    <w:qFormat/>
    <w:uiPriority w:val="99"/>
    <w:pPr>
      <w:widowControl/>
      <w:pBdr>
        <w:top w:val="single" w:color="auto" w:sz="4" w:space="0"/>
      </w:pBdr>
      <w:autoSpaceDE/>
      <w:autoSpaceDN/>
      <w:adjustRightInd/>
      <w:spacing w:before="100" w:beforeAutospacing="1" w:after="100" w:afterAutospacing="1"/>
      <w:jc w:val="left"/>
    </w:pPr>
    <w:rPr>
      <w:rFonts w:ascii="Arial Unicode MS" w:hAnsi="Arial Unicode MS" w:eastAsia="Arial Unicode MS" w:cs="Arial Unicode MS"/>
      <w:color w:val="auto"/>
      <w:sz w:val="24"/>
      <w:szCs w:val="24"/>
    </w:rPr>
  </w:style>
  <w:style w:type="paragraph" w:customStyle="1" w:styleId="172">
    <w:name w:val="font6"/>
    <w:basedOn w:val="1"/>
    <w:qFormat/>
    <w:uiPriority w:val="99"/>
    <w:pPr>
      <w:widowControl/>
      <w:autoSpaceDE/>
      <w:autoSpaceDN/>
      <w:adjustRightInd/>
      <w:spacing w:before="100" w:beforeAutospacing="1" w:after="100" w:afterAutospacing="1"/>
      <w:jc w:val="left"/>
    </w:pPr>
    <w:rPr>
      <w:rFonts w:eastAsia="Arial Unicode MS"/>
      <w:color w:val="auto"/>
      <w:sz w:val="24"/>
      <w:szCs w:val="24"/>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eastAsia="Arial Unicode MS"/>
      <w:color w:val="auto"/>
      <w:sz w:val="24"/>
      <w:szCs w:val="24"/>
    </w:rPr>
  </w:style>
  <w:style w:type="paragraph" w:customStyle="1" w:styleId="174">
    <w:name w:val="font5"/>
    <w:basedOn w:val="1"/>
    <w:qFormat/>
    <w:uiPriority w:val="99"/>
    <w:pPr>
      <w:widowControl/>
      <w:autoSpaceDE/>
      <w:autoSpaceDN/>
      <w:adjustRightInd/>
      <w:spacing w:before="100" w:beforeAutospacing="1" w:after="100" w:afterAutospacing="1"/>
      <w:jc w:val="left"/>
    </w:pPr>
    <w:rPr>
      <w:rFonts w:hint="eastAsia" w:ascii="宋体" w:hAnsi="宋体" w:cs="Arial Unicode MS"/>
      <w:color w:val="auto"/>
      <w:sz w:val="18"/>
      <w:szCs w:val="18"/>
    </w:rPr>
  </w:style>
  <w:style w:type="paragraph" w:customStyle="1" w:styleId="175">
    <w:name w:val="xl30"/>
    <w:basedOn w:val="1"/>
    <w:qFormat/>
    <w:uiPriority w:val="99"/>
    <w:pPr>
      <w:widowControl/>
      <w:autoSpaceDE/>
      <w:autoSpaceDN/>
      <w:adjustRightInd/>
      <w:spacing w:before="100" w:beforeAutospacing="1" w:after="100" w:afterAutospacing="1"/>
      <w:jc w:val="left"/>
      <w:textAlignment w:val="top"/>
    </w:pPr>
    <w:rPr>
      <w:rFonts w:ascii="Arial Unicode MS" w:hAnsi="Arial Unicode MS" w:eastAsia="Arial Unicode MS" w:cs="Arial Unicode MS"/>
      <w:color w:val="auto"/>
      <w:sz w:val="24"/>
      <w:szCs w:val="24"/>
    </w:rPr>
  </w:style>
  <w:style w:type="paragraph" w:customStyle="1" w:styleId="176">
    <w:name w:val="z-窗体顶端1"/>
    <w:basedOn w:val="1"/>
    <w:next w:val="1"/>
    <w:qFormat/>
    <w:uiPriority w:val="99"/>
    <w:pPr>
      <w:widowControl/>
      <w:pBdr>
        <w:bottom w:val="single" w:color="auto" w:sz="6" w:space="1"/>
      </w:pBdr>
      <w:autoSpaceDE/>
      <w:autoSpaceDN/>
      <w:adjustRightInd/>
      <w:jc w:val="center"/>
    </w:pPr>
    <w:rPr>
      <w:rFonts w:ascii="Arial" w:hAnsi="Arial" w:cs="Arial"/>
      <w:vanish/>
      <w:color w:val="auto"/>
      <w:sz w:val="16"/>
      <w:szCs w:val="16"/>
    </w:rPr>
  </w:style>
  <w:style w:type="paragraph" w:customStyle="1" w:styleId="177">
    <w:name w:val="xl34"/>
    <w:basedOn w:val="1"/>
    <w:qFormat/>
    <w:uiPriority w:val="99"/>
    <w:pPr>
      <w:widowControl/>
      <w:pBdr>
        <w:left w:val="single" w:color="auto" w:sz="8" w:space="0"/>
        <w:bottom w:val="single" w:color="auto" w:sz="8" w:space="0"/>
      </w:pBdr>
      <w:autoSpaceDE/>
      <w:autoSpaceDN/>
      <w:adjustRightInd/>
      <w:spacing w:before="100" w:beforeAutospacing="1" w:after="100" w:afterAutospacing="1"/>
      <w:jc w:val="center"/>
    </w:pPr>
    <w:rPr>
      <w:rFonts w:ascii="宋体" w:hAnsi="宋体"/>
      <w:color w:val="auto"/>
      <w:sz w:val="36"/>
      <w:szCs w:val="36"/>
    </w:rPr>
  </w:style>
  <w:style w:type="paragraph" w:customStyle="1" w:styleId="178">
    <w:name w:val="style7"/>
    <w:basedOn w:val="1"/>
    <w:qFormat/>
    <w:uiPriority w:val="99"/>
    <w:pPr>
      <w:widowControl/>
      <w:autoSpaceDE/>
      <w:autoSpaceDN/>
      <w:adjustRightInd/>
      <w:spacing w:before="100" w:beforeAutospacing="1" w:after="100" w:afterAutospacing="1"/>
      <w:jc w:val="left"/>
    </w:pPr>
    <w:rPr>
      <w:rFonts w:ascii="ˎ̥" w:hAnsi="ˎ̥" w:cs="宋体"/>
      <w:sz w:val="23"/>
      <w:szCs w:val="23"/>
    </w:rPr>
  </w:style>
  <w:style w:type="paragraph" w:customStyle="1" w:styleId="179">
    <w:name w:val="xl25"/>
    <w:basedOn w:val="1"/>
    <w:qFormat/>
    <w:uiPriority w:val="99"/>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cs="Arial Unicode MS"/>
      <w:color w:val="auto"/>
      <w:sz w:val="24"/>
      <w:szCs w:val="24"/>
    </w:rPr>
  </w:style>
  <w:style w:type="paragraph" w:customStyle="1" w:styleId="180">
    <w:name w:val="xl23"/>
    <w:basedOn w:val="1"/>
    <w:qFormat/>
    <w:uiPriority w:val="99"/>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eastAsia="Arial Unicode MS"/>
      <w:color w:val="auto"/>
      <w:sz w:val="24"/>
      <w:szCs w:val="24"/>
    </w:rPr>
  </w:style>
  <w:style w:type="paragraph" w:customStyle="1" w:styleId="181">
    <w:name w:val="xl22"/>
    <w:basedOn w:val="1"/>
    <w:qFormat/>
    <w:uiPriority w:val="99"/>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eastAsia="Arial Unicode MS" w:cs="Arial Unicode MS"/>
      <w:color w:val="auto"/>
      <w:sz w:val="24"/>
      <w:szCs w:val="24"/>
    </w:rPr>
  </w:style>
  <w:style w:type="paragraph" w:customStyle="1" w:styleId="182">
    <w:name w:val="Char Char2 Char"/>
    <w:basedOn w:val="1"/>
    <w:qFormat/>
    <w:uiPriority w:val="99"/>
    <w:pPr>
      <w:keepNext/>
      <w:keepLines/>
      <w:pageBreakBefore/>
      <w:tabs>
        <w:tab w:val="left" w:pos="845"/>
      </w:tabs>
      <w:autoSpaceDE/>
      <w:autoSpaceDN/>
      <w:adjustRightInd/>
      <w:ind w:left="845" w:hanging="420"/>
    </w:pPr>
    <w:rPr>
      <w:rFonts w:ascii="Tahoma" w:hAnsi="Tahoma"/>
      <w:color w:val="auto"/>
      <w:kern w:val="2"/>
      <w:sz w:val="24"/>
      <w:szCs w:val="20"/>
    </w:rPr>
  </w:style>
  <w:style w:type="paragraph" w:customStyle="1" w:styleId="183">
    <w:name w:val="标题6"/>
    <w:basedOn w:val="1"/>
    <w:next w:val="3"/>
    <w:qFormat/>
    <w:uiPriority w:val="99"/>
    <w:pPr>
      <w:widowControl/>
      <w:autoSpaceDE/>
      <w:autoSpaceDN/>
      <w:adjustRightInd/>
      <w:snapToGrid w:val="0"/>
      <w:spacing w:beforeLines="50" w:afterLines="50" w:line="520" w:lineRule="atLeast"/>
      <w:ind w:firstLine="200" w:firstLineChars="200"/>
    </w:pPr>
    <w:rPr>
      <w:color w:val="auto"/>
      <w:kern w:val="2"/>
      <w:szCs w:val="20"/>
    </w:rPr>
  </w:style>
  <w:style w:type="paragraph" w:customStyle="1" w:styleId="184">
    <w:name w:val="xl29"/>
    <w:basedOn w:val="1"/>
    <w:qFormat/>
    <w:uiPriority w:val="99"/>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cs="Arial Unicode MS"/>
      <w:color w:val="auto"/>
      <w:sz w:val="24"/>
      <w:szCs w:val="24"/>
    </w:rPr>
  </w:style>
  <w:style w:type="paragraph" w:customStyle="1" w:styleId="185">
    <w:name w:val="xl24"/>
    <w:basedOn w:val="1"/>
    <w:qFormat/>
    <w:uiPriority w:val="99"/>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Arial Unicode MS" w:hAnsi="Arial Unicode MS" w:eastAsia="Arial Unicode MS" w:cs="Arial Unicode MS"/>
      <w:color w:val="auto"/>
      <w:sz w:val="24"/>
      <w:szCs w:val="24"/>
    </w:rPr>
  </w:style>
  <w:style w:type="paragraph" w:customStyle="1" w:styleId="186">
    <w:name w:val="TOC 标题1"/>
    <w:basedOn w:val="3"/>
    <w:next w:val="1"/>
    <w:qFormat/>
    <w:uiPriority w:val="9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87">
    <w:name w:val="xl28"/>
    <w:basedOn w:val="1"/>
    <w:qFormat/>
    <w:uiPriority w:val="99"/>
    <w:pPr>
      <w:widowControl/>
      <w:autoSpaceDE/>
      <w:autoSpaceDN/>
      <w:adjustRightInd/>
      <w:spacing w:before="100" w:beforeAutospacing="1" w:after="100" w:afterAutospacing="1"/>
      <w:jc w:val="left"/>
      <w:textAlignment w:val="center"/>
    </w:pPr>
    <w:rPr>
      <w:rFonts w:ascii="Arial Unicode MS" w:hAnsi="Arial Unicode MS" w:eastAsia="Arial Unicode MS" w:cs="Arial Unicode MS"/>
      <w:color w:val="auto"/>
      <w:sz w:val="24"/>
      <w:szCs w:val="24"/>
    </w:rPr>
  </w:style>
  <w:style w:type="paragraph" w:customStyle="1" w:styleId="188">
    <w:name w:val="font0"/>
    <w:basedOn w:val="1"/>
    <w:qFormat/>
    <w:uiPriority w:val="99"/>
    <w:pPr>
      <w:widowControl/>
      <w:autoSpaceDE/>
      <w:autoSpaceDN/>
      <w:adjustRightInd/>
      <w:spacing w:before="100" w:beforeAutospacing="1" w:after="100" w:afterAutospacing="1"/>
      <w:jc w:val="left"/>
    </w:pPr>
    <w:rPr>
      <w:rFonts w:hint="eastAsia" w:ascii="宋体" w:hAnsi="宋体" w:cs="Arial Unicode MS"/>
      <w:color w:val="auto"/>
      <w:sz w:val="24"/>
      <w:szCs w:val="24"/>
    </w:rPr>
  </w:style>
  <w:style w:type="paragraph" w:customStyle="1" w:styleId="189">
    <w:name w:val="Char Char Char Char"/>
    <w:basedOn w:val="1"/>
    <w:qFormat/>
    <w:uiPriority w:val="99"/>
    <w:pPr>
      <w:tabs>
        <w:tab w:val="left" w:pos="360"/>
      </w:tabs>
      <w:autoSpaceDE/>
      <w:autoSpaceDN/>
      <w:adjustRightInd/>
      <w:ind w:firstLine="420" w:firstLineChars="150"/>
    </w:pPr>
    <w:rPr>
      <w:color w:val="auto"/>
      <w:kern w:val="2"/>
      <w:szCs w:val="24"/>
    </w:rPr>
  </w:style>
  <w:style w:type="paragraph" w:customStyle="1" w:styleId="190">
    <w:name w:val="xl32"/>
    <w:basedOn w:val="1"/>
    <w:qFormat/>
    <w:uiPriority w:val="99"/>
    <w:pPr>
      <w:widowControl/>
      <w:autoSpaceDE/>
      <w:autoSpaceDN/>
      <w:adjustRightInd/>
      <w:spacing w:before="100" w:beforeAutospacing="1" w:after="100" w:afterAutospacing="1"/>
      <w:jc w:val="left"/>
    </w:pPr>
    <w:rPr>
      <w:rFonts w:eastAsia="Arial Unicode MS"/>
      <w:color w:val="auto"/>
      <w:sz w:val="24"/>
      <w:szCs w:val="24"/>
    </w:rPr>
  </w:style>
  <w:style w:type="character" w:customStyle="1" w:styleId="191">
    <w:name w:val="页码1"/>
    <w:qFormat/>
    <w:uiPriority w:val="0"/>
    <w:rPr>
      <w:lang w:val="en-US"/>
    </w:rPr>
  </w:style>
  <w:style w:type="character" w:customStyle="1" w:styleId="192">
    <w:name w:val="标题 1 字符"/>
    <w:basedOn w:val="48"/>
    <w:qFormat/>
    <w:uiPriority w:val="9"/>
    <w:rPr>
      <w:rFonts w:ascii="Times New Roman" w:hAnsi="Times New Roman" w:eastAsia="宋体" w:cs="Times New Roman"/>
      <w:b/>
      <w:bCs/>
      <w:kern w:val="44"/>
      <w:sz w:val="44"/>
      <w:szCs w:val="44"/>
    </w:rPr>
  </w:style>
  <w:style w:type="character" w:customStyle="1" w:styleId="193">
    <w:name w:val="标题 2 字符"/>
    <w:basedOn w:val="48"/>
    <w:semiHidden/>
    <w:qFormat/>
    <w:uiPriority w:val="9"/>
    <w:rPr>
      <w:rFonts w:ascii="Cambria" w:hAnsi="Cambria" w:eastAsia="宋体" w:cs="Times New Roman"/>
      <w:b/>
      <w:bCs/>
      <w:sz w:val="32"/>
      <w:szCs w:val="32"/>
    </w:rPr>
  </w:style>
  <w:style w:type="character" w:customStyle="1" w:styleId="194">
    <w:name w:val="标题 3 字符"/>
    <w:basedOn w:val="48"/>
    <w:semiHidden/>
    <w:qFormat/>
    <w:uiPriority w:val="9"/>
    <w:rPr>
      <w:rFonts w:ascii="Times New Roman" w:hAnsi="Times New Roman" w:eastAsia="宋体" w:cs="Times New Roman"/>
      <w:b/>
      <w:bCs/>
      <w:sz w:val="32"/>
      <w:szCs w:val="32"/>
    </w:rPr>
  </w:style>
  <w:style w:type="character" w:customStyle="1" w:styleId="195">
    <w:name w:val="标题 4 Char"/>
    <w:basedOn w:val="48"/>
    <w:link w:val="6"/>
    <w:qFormat/>
    <w:uiPriority w:val="9"/>
    <w:rPr>
      <w:rFonts w:ascii="Cambria" w:hAnsi="Cambria" w:eastAsia="黑体"/>
      <w:b/>
      <w:bCs/>
      <w:kern w:val="2"/>
      <w:sz w:val="24"/>
      <w:szCs w:val="28"/>
    </w:rPr>
  </w:style>
  <w:style w:type="character" w:customStyle="1" w:styleId="196">
    <w:name w:val="标题 5 Char"/>
    <w:basedOn w:val="48"/>
    <w:link w:val="7"/>
    <w:qFormat/>
    <w:uiPriority w:val="9"/>
    <w:rPr>
      <w:b/>
      <w:bCs/>
      <w:color w:val="000000"/>
      <w:kern w:val="2"/>
      <w:sz w:val="28"/>
      <w:szCs w:val="28"/>
    </w:rPr>
  </w:style>
  <w:style w:type="character" w:customStyle="1" w:styleId="197">
    <w:name w:val="正文文本缩进 2 字符"/>
    <w:basedOn w:val="48"/>
    <w:semiHidden/>
    <w:qFormat/>
    <w:uiPriority w:val="99"/>
    <w:rPr>
      <w:rFonts w:ascii="Times New Roman" w:hAnsi="Times New Roman" w:eastAsia="宋体" w:cs="Times New Roman"/>
      <w:szCs w:val="24"/>
    </w:rPr>
  </w:style>
  <w:style w:type="character" w:customStyle="1" w:styleId="198">
    <w:name w:val="页眉 字符"/>
    <w:basedOn w:val="48"/>
    <w:semiHidden/>
    <w:qFormat/>
    <w:uiPriority w:val="99"/>
    <w:rPr>
      <w:rFonts w:ascii="Times New Roman" w:hAnsi="Times New Roman" w:eastAsia="宋体" w:cs="Times New Roman"/>
      <w:sz w:val="18"/>
      <w:szCs w:val="18"/>
    </w:rPr>
  </w:style>
  <w:style w:type="paragraph" w:customStyle="1" w:styleId="199">
    <w:name w:val="1"/>
    <w:basedOn w:val="1"/>
    <w:next w:val="1"/>
    <w:qFormat/>
    <w:uiPriority w:val="0"/>
    <w:pPr>
      <w:autoSpaceDE/>
      <w:autoSpaceDN/>
      <w:adjustRightInd/>
      <w:ind w:left="3360" w:leftChars="1600"/>
    </w:pPr>
    <w:rPr>
      <w:color w:val="auto"/>
      <w:kern w:val="2"/>
      <w:szCs w:val="24"/>
    </w:rPr>
  </w:style>
  <w:style w:type="character" w:customStyle="1" w:styleId="200">
    <w:name w:val="页脚 字符"/>
    <w:basedOn w:val="48"/>
    <w:semiHidden/>
    <w:qFormat/>
    <w:uiPriority w:val="99"/>
    <w:rPr>
      <w:rFonts w:ascii="Times New Roman" w:hAnsi="Times New Roman" w:eastAsia="宋体" w:cs="Times New Roman"/>
      <w:sz w:val="18"/>
      <w:szCs w:val="18"/>
    </w:rPr>
  </w:style>
  <w:style w:type="character" w:customStyle="1" w:styleId="201">
    <w:name w:val="批注框文本 字符"/>
    <w:basedOn w:val="48"/>
    <w:semiHidden/>
    <w:qFormat/>
    <w:uiPriority w:val="99"/>
    <w:rPr>
      <w:rFonts w:ascii="Times New Roman" w:hAnsi="Times New Roman" w:eastAsia="宋体" w:cs="Times New Roman"/>
      <w:sz w:val="18"/>
      <w:szCs w:val="18"/>
    </w:rPr>
  </w:style>
  <w:style w:type="paragraph" w:customStyle="1" w:styleId="202">
    <w:name w:val="z-窗体底端2"/>
    <w:basedOn w:val="1"/>
    <w:next w:val="1"/>
    <w:link w:val="203"/>
    <w:qFormat/>
    <w:uiPriority w:val="0"/>
    <w:pPr>
      <w:widowControl/>
      <w:pBdr>
        <w:top w:val="single" w:color="auto" w:sz="6" w:space="1"/>
      </w:pBdr>
      <w:autoSpaceDE/>
      <w:autoSpaceDN/>
      <w:adjustRightInd/>
      <w:jc w:val="center"/>
    </w:pPr>
    <w:rPr>
      <w:rFonts w:ascii="Arial" w:hAnsi="Arial" w:cs="Arial"/>
      <w:vanish/>
      <w:color w:val="auto"/>
      <w:sz w:val="16"/>
      <w:szCs w:val="16"/>
    </w:rPr>
  </w:style>
  <w:style w:type="character" w:customStyle="1" w:styleId="203">
    <w:name w:val="z-窗体底端 字符"/>
    <w:basedOn w:val="48"/>
    <w:link w:val="202"/>
    <w:qFormat/>
    <w:uiPriority w:val="0"/>
    <w:rPr>
      <w:rFonts w:ascii="Arial" w:hAnsi="Arial" w:cs="Arial"/>
      <w:vanish/>
      <w:sz w:val="16"/>
      <w:szCs w:val="16"/>
    </w:rPr>
  </w:style>
  <w:style w:type="character" w:customStyle="1" w:styleId="204">
    <w:name w:val="文档结构图 Char"/>
    <w:basedOn w:val="48"/>
    <w:link w:val="15"/>
    <w:qFormat/>
    <w:uiPriority w:val="99"/>
    <w:rPr>
      <w:kern w:val="2"/>
      <w:sz w:val="21"/>
      <w:szCs w:val="24"/>
      <w:shd w:val="clear" w:color="auto" w:fill="000080"/>
    </w:rPr>
  </w:style>
  <w:style w:type="paragraph" w:customStyle="1" w:styleId="205">
    <w:name w:val="z-窗体顶端2"/>
    <w:basedOn w:val="1"/>
    <w:next w:val="1"/>
    <w:link w:val="206"/>
    <w:qFormat/>
    <w:uiPriority w:val="0"/>
    <w:pPr>
      <w:widowControl/>
      <w:pBdr>
        <w:bottom w:val="single" w:color="auto" w:sz="6" w:space="1"/>
      </w:pBdr>
      <w:autoSpaceDE/>
      <w:autoSpaceDN/>
      <w:adjustRightInd/>
      <w:jc w:val="center"/>
    </w:pPr>
    <w:rPr>
      <w:rFonts w:ascii="Arial" w:hAnsi="Arial" w:cs="Arial"/>
      <w:vanish/>
      <w:color w:val="auto"/>
      <w:sz w:val="16"/>
      <w:szCs w:val="16"/>
    </w:rPr>
  </w:style>
  <w:style w:type="character" w:customStyle="1" w:styleId="206">
    <w:name w:val="z-窗体顶端 字符"/>
    <w:basedOn w:val="48"/>
    <w:link w:val="205"/>
    <w:qFormat/>
    <w:uiPriority w:val="0"/>
    <w:rPr>
      <w:rFonts w:ascii="Arial" w:hAnsi="Arial" w:cs="Arial"/>
      <w:vanish/>
      <w:sz w:val="16"/>
      <w:szCs w:val="16"/>
    </w:rPr>
  </w:style>
  <w:style w:type="paragraph" w:customStyle="1" w:styleId="207">
    <w:name w:val="TOC 标题2"/>
    <w:basedOn w:val="3"/>
    <w:next w:val="1"/>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character" w:customStyle="1" w:styleId="208">
    <w:name w:val="批注文字 Char1"/>
    <w:basedOn w:val="48"/>
    <w:semiHidden/>
    <w:qFormat/>
    <w:uiPriority w:val="99"/>
    <w:rPr>
      <w:kern w:val="2"/>
      <w:sz w:val="21"/>
      <w:szCs w:val="24"/>
    </w:rPr>
  </w:style>
  <w:style w:type="character" w:customStyle="1" w:styleId="209">
    <w:name w:val="批注主题 Char"/>
    <w:basedOn w:val="208"/>
    <w:link w:val="44"/>
    <w:qFormat/>
    <w:uiPriority w:val="0"/>
    <w:rPr>
      <w:b/>
      <w:bCs/>
      <w:kern w:val="2"/>
      <w:sz w:val="21"/>
      <w:szCs w:val="24"/>
    </w:rPr>
  </w:style>
  <w:style w:type="character" w:customStyle="1" w:styleId="210">
    <w:name w:val="标题 Char"/>
    <w:basedOn w:val="48"/>
    <w:link w:val="43"/>
    <w:qFormat/>
    <w:uiPriority w:val="0"/>
    <w:rPr>
      <w:rFonts w:ascii="Cambria" w:hAnsi="Cambria"/>
      <w:b/>
      <w:bCs/>
      <w:color w:val="000000"/>
      <w:sz w:val="32"/>
      <w:szCs w:val="32"/>
    </w:rPr>
  </w:style>
  <w:style w:type="character" w:customStyle="1" w:styleId="211">
    <w:name w:val="正文首行缩进 2 Char"/>
    <w:basedOn w:val="76"/>
    <w:link w:val="45"/>
    <w:qFormat/>
    <w:uiPriority w:val="0"/>
    <w:rPr>
      <w:rFonts w:ascii="Calibri" w:hAnsi="Calibri" w:eastAsia="宋体"/>
      <w:color w:val="000000"/>
      <w:kern w:val="2"/>
      <w:sz w:val="24"/>
      <w:szCs w:val="22"/>
      <w:lang w:val="en-US" w:eastAsia="zh-CN" w:bidi="ar-SA"/>
    </w:rPr>
  </w:style>
  <w:style w:type="character" w:customStyle="1" w:styleId="212">
    <w:name w:val="HTML 预设格式 Char1"/>
    <w:basedOn w:val="48"/>
    <w:semiHidden/>
    <w:qFormat/>
    <w:uiPriority w:val="99"/>
    <w:rPr>
      <w:rFonts w:ascii="Courier New" w:hAnsi="Courier New" w:cs="Courier New"/>
      <w:kern w:val="2"/>
    </w:rPr>
  </w:style>
  <w:style w:type="character" w:customStyle="1" w:styleId="213">
    <w:name w:val="签名 Char1"/>
    <w:basedOn w:val="48"/>
    <w:semiHidden/>
    <w:qFormat/>
    <w:uiPriority w:val="99"/>
    <w:rPr>
      <w:kern w:val="2"/>
      <w:sz w:val="21"/>
      <w:szCs w:val="24"/>
    </w:rPr>
  </w:style>
  <w:style w:type="paragraph" w:customStyle="1" w:styleId="214">
    <w:name w:val="正文2"/>
    <w:basedOn w:val="1"/>
    <w:qFormat/>
    <w:uiPriority w:val="0"/>
    <w:pPr>
      <w:spacing w:before="156" w:beforeLines="0" w:line="360" w:lineRule="auto"/>
      <w:ind w:firstLine="510" w:firstLineChars="200"/>
    </w:pPr>
    <w:rPr>
      <w:sz w:val="24"/>
      <w:szCs w:val="20"/>
    </w:rPr>
  </w:style>
  <w:style w:type="paragraph" w:customStyle="1" w:styleId="2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E4FF6-EEA6-4087-BA3B-810151ECFD4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15086</Words>
  <Characters>16390</Characters>
  <Lines>129</Lines>
  <Paragraphs>36</Paragraphs>
  <TotalTime>13</TotalTime>
  <ScaleCrop>false</ScaleCrop>
  <LinksUpToDate>false</LinksUpToDate>
  <CharactersWithSpaces>17171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2021-10-18T01:33:00Z</dcterms:created>
  <dc:creator>微软中国</dc:creator>
  <cp:lastModifiedBy>Smile.Studio</cp:lastModifiedBy>
  <cp:lastPrinted>2021-03-17T08:31:00Z</cp:lastPrinted>
  <dcterms:modified xsi:type="dcterms:W3CDTF">2022-05-31T03:32:21Z</dcterms:modified>
  <dc:title>广告制作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BFC7F9520200425C96AFFE2ACF529DF5</vt:lpwstr>
  </property>
</Properties>
</file>